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0C" w:rsidRDefault="0094260C" w:rsidP="0094260C">
      <w:pPr>
        <w:widowControl w:val="0"/>
        <w:autoSpaceDE w:val="0"/>
        <w:autoSpaceDN w:val="0"/>
        <w:adjustRightInd w:val="0"/>
        <w:spacing w:line="360" w:lineRule="auto"/>
        <w:ind w:right="50"/>
        <w:jc w:val="both"/>
        <w:rPr>
          <w:rFonts w:ascii="Calibri" w:hAnsi="Calibri" w:cs="Impact"/>
          <w:b/>
          <w:bCs/>
          <w:spacing w:val="2"/>
          <w:kern w:val="1"/>
          <w:sz w:val="28"/>
          <w:szCs w:val="28"/>
        </w:rPr>
      </w:pPr>
      <w:r w:rsidRPr="0094260C">
        <w:rPr>
          <w:rFonts w:ascii="Calibri" w:hAnsi="Calibri" w:cs="Impact"/>
          <w:b/>
          <w:bCs/>
          <w:spacing w:val="2"/>
          <w:kern w:val="1"/>
          <w:sz w:val="28"/>
          <w:szCs w:val="28"/>
        </w:rPr>
        <w:t>Mit der richtigen Beleuchtung ermüdungsfrei und rückenschonend arbeiten</w:t>
      </w:r>
    </w:p>
    <w:p w:rsidR="0094260C" w:rsidRPr="0094260C" w:rsidRDefault="0094260C" w:rsidP="0094260C">
      <w:pPr>
        <w:widowControl w:val="0"/>
        <w:autoSpaceDE w:val="0"/>
        <w:autoSpaceDN w:val="0"/>
        <w:adjustRightInd w:val="0"/>
        <w:spacing w:line="360" w:lineRule="auto"/>
        <w:ind w:right="50"/>
        <w:jc w:val="both"/>
        <w:rPr>
          <w:rFonts w:ascii="Calibri" w:hAnsi="Calibri" w:cs="Impact"/>
          <w:b/>
          <w:bCs/>
          <w:spacing w:val="2"/>
          <w:kern w:val="1"/>
          <w:sz w:val="28"/>
          <w:szCs w:val="28"/>
        </w:rPr>
      </w:pPr>
    </w:p>
    <w:p w:rsidR="0094260C" w:rsidRDefault="0094260C" w:rsidP="0094260C">
      <w:pPr>
        <w:widowControl w:val="0"/>
        <w:autoSpaceDE w:val="0"/>
        <w:autoSpaceDN w:val="0"/>
        <w:adjustRightInd w:val="0"/>
        <w:spacing w:line="360" w:lineRule="auto"/>
        <w:ind w:right="50"/>
        <w:jc w:val="both"/>
        <w:rPr>
          <w:rFonts w:ascii="Calibri" w:hAnsi="Calibri" w:cs="TheSans 7-Bold"/>
          <w:b/>
          <w:bCs/>
          <w:spacing w:val="1"/>
          <w:kern w:val="1"/>
        </w:rPr>
      </w:pPr>
      <w:r w:rsidRPr="0094260C">
        <w:rPr>
          <w:rFonts w:ascii="Calibri" w:hAnsi="Calibri" w:cs="TheSans 7-Bold"/>
          <w:b/>
          <w:bCs/>
          <w:spacing w:val="1"/>
          <w:kern w:val="1"/>
        </w:rPr>
        <w:t>Das Thema Ergonomie am Arbeitsplatz gewinnt zunehmend an Bedeutung</w:t>
      </w:r>
      <w:proofErr w:type="gramStart"/>
      <w:r w:rsidRPr="0094260C">
        <w:rPr>
          <w:rFonts w:ascii="Calibri" w:hAnsi="Calibri" w:cs="TheSans 7-Bold"/>
          <w:b/>
          <w:bCs/>
          <w:spacing w:val="1"/>
          <w:kern w:val="1"/>
        </w:rPr>
        <w:t>, denn</w:t>
      </w:r>
      <w:proofErr w:type="gramEnd"/>
      <w:r w:rsidRPr="0094260C">
        <w:rPr>
          <w:rFonts w:ascii="Calibri" w:hAnsi="Calibri" w:cs="TheSans 7-Bold"/>
          <w:b/>
          <w:bCs/>
          <w:spacing w:val="1"/>
          <w:kern w:val="1"/>
        </w:rPr>
        <w:t xml:space="preserve"> immer mehr Menschen leiden an Rückenbeschwerden. Vor allem wer am Schreibtisch arbeitet und berufsbedingt viel Zeit im Sitzen verbringt, </w:t>
      </w:r>
      <w:proofErr w:type="gramStart"/>
      <w:r w:rsidRPr="0094260C">
        <w:rPr>
          <w:rFonts w:ascii="Calibri" w:hAnsi="Calibri" w:cs="TheSans 7-Bold"/>
          <w:b/>
          <w:bCs/>
          <w:spacing w:val="1"/>
          <w:kern w:val="1"/>
        </w:rPr>
        <w:t>hat ein</w:t>
      </w:r>
      <w:proofErr w:type="gramEnd"/>
      <w:r w:rsidRPr="0094260C">
        <w:rPr>
          <w:rFonts w:ascii="Calibri" w:hAnsi="Calibri" w:cs="TheSans 7-Bold"/>
          <w:b/>
          <w:bCs/>
          <w:spacing w:val="1"/>
          <w:kern w:val="1"/>
        </w:rPr>
        <w:t xml:space="preserve"> hohes Risiko für Schmerzen und Verspannungen. Um dem vorzubeugen ist ein rückengerechter Arbeitsplatz wichtig. Dieser besteht im Wesentlichen aus drei Säulen</w:t>
      </w:r>
      <w:proofErr w:type="gramStart"/>
      <w:r w:rsidRPr="0094260C">
        <w:rPr>
          <w:rFonts w:ascii="Calibri" w:hAnsi="Calibri" w:cs="TheSans 7-Bold"/>
          <w:b/>
          <w:bCs/>
          <w:spacing w:val="1"/>
          <w:kern w:val="1"/>
        </w:rPr>
        <w:t>: Neben</w:t>
      </w:r>
      <w:proofErr w:type="gramEnd"/>
      <w:r w:rsidRPr="0094260C">
        <w:rPr>
          <w:rFonts w:ascii="Calibri" w:hAnsi="Calibri" w:cs="TheSans 7-Bold"/>
          <w:b/>
          <w:bCs/>
          <w:spacing w:val="1"/>
          <w:kern w:val="1"/>
        </w:rPr>
        <w:t xml:space="preserve"> Tisch und Stuhl ist dabei die richtige Beleuchtung das dritte entscheidende Element, das unsere Arbeitshaltung direkt beeinflusst. Von der Aktion Gesunder Rücken zertifiziert wurden deshalb auch Büro- und Industriearbeitsplatz-Leuchten. Sie ermöglichen ermüdungsfreies Arbeiten, von dem auch der Rücken profitiert. </w:t>
      </w:r>
    </w:p>
    <w:p w:rsidR="0094260C" w:rsidRPr="0094260C" w:rsidRDefault="0094260C" w:rsidP="0094260C">
      <w:pPr>
        <w:widowControl w:val="0"/>
        <w:autoSpaceDE w:val="0"/>
        <w:autoSpaceDN w:val="0"/>
        <w:adjustRightInd w:val="0"/>
        <w:spacing w:line="360" w:lineRule="auto"/>
        <w:ind w:right="50"/>
        <w:jc w:val="both"/>
        <w:rPr>
          <w:rFonts w:ascii="Calibri" w:hAnsi="Calibri" w:cs="TheSans 7-Bold"/>
          <w:b/>
          <w:bCs/>
          <w:spacing w:val="1"/>
          <w:kern w:val="1"/>
        </w:rPr>
      </w:pPr>
    </w:p>
    <w:p w:rsidR="0094260C" w:rsidRPr="0094260C" w:rsidRDefault="0094260C" w:rsidP="0094260C">
      <w:pPr>
        <w:widowControl w:val="0"/>
        <w:autoSpaceDE w:val="0"/>
        <w:autoSpaceDN w:val="0"/>
        <w:adjustRightInd w:val="0"/>
        <w:spacing w:line="360" w:lineRule="auto"/>
        <w:ind w:right="50"/>
        <w:jc w:val="both"/>
        <w:rPr>
          <w:rFonts w:ascii="Calibri" w:hAnsi="Calibri" w:cs="TheSans 3-Light"/>
          <w:spacing w:val="1"/>
          <w:kern w:val="1"/>
        </w:rPr>
      </w:pPr>
      <w:r w:rsidRPr="0094260C">
        <w:rPr>
          <w:rFonts w:ascii="Calibri" w:hAnsi="Calibri" w:cs="TheSans 3-Light"/>
          <w:spacing w:val="1"/>
          <w:kern w:val="1"/>
        </w:rPr>
        <w:t>Unsere Augen sind am Bildschirm- oder Industriearbeitsplatz durchgehend gefordert. Zu helle oder zu dunkle Beleuchtung, Schattenwurf oder Reflexionen führen zu einem schnelleren Ermüden der Augen. Die Folge: Konzentrations- und Leistungsfähigkeit lassen nach. Zusätzlich beeinflusst die Beleuchtung auch die Körperhaltung, denn wer nicht richtig sieht, kneift nicht nur die Augen zusammen, sondern ist auch ständig auf der Suche nach der Sitzposition mit den besten Sichtverhältnissen – auch wenn diese alles andere als rückenfreundlich ist. So können leicht Verspannungen im Schulter- und Nackenbereich</w:t>
      </w:r>
      <w:proofErr w:type="gramStart"/>
      <w:r w:rsidRPr="0094260C">
        <w:rPr>
          <w:rFonts w:ascii="Calibri" w:hAnsi="Calibri" w:cs="TheSans 3-Light"/>
          <w:spacing w:val="1"/>
          <w:kern w:val="1"/>
        </w:rPr>
        <w:t>, Spannungskopfschmerzen</w:t>
      </w:r>
      <w:proofErr w:type="gramEnd"/>
      <w:r w:rsidRPr="0094260C">
        <w:rPr>
          <w:rFonts w:ascii="Calibri" w:hAnsi="Calibri" w:cs="TheSans 3-Light"/>
          <w:spacing w:val="1"/>
          <w:kern w:val="1"/>
        </w:rPr>
        <w:t xml:space="preserve"> und Rückenbeschwerden entstehen. Eine optimale Beleuchtung ist deswegen für einen rückengerechten Arbeitsplatz unverzichtbar. </w:t>
      </w:r>
    </w:p>
    <w:p w:rsidR="0094260C" w:rsidRPr="0094260C" w:rsidRDefault="0094260C" w:rsidP="0094260C">
      <w:pPr>
        <w:widowControl w:val="0"/>
        <w:autoSpaceDE w:val="0"/>
        <w:autoSpaceDN w:val="0"/>
        <w:adjustRightInd w:val="0"/>
        <w:spacing w:line="360" w:lineRule="auto"/>
        <w:ind w:right="50"/>
        <w:jc w:val="both"/>
        <w:rPr>
          <w:rFonts w:ascii="Calibri" w:hAnsi="Calibri" w:cs="TheSans 3-Light"/>
          <w:spacing w:val="1"/>
          <w:kern w:val="1"/>
        </w:rPr>
      </w:pPr>
    </w:p>
    <w:p w:rsidR="0094260C" w:rsidRPr="0094260C" w:rsidRDefault="0094260C" w:rsidP="0094260C">
      <w:pPr>
        <w:widowControl w:val="0"/>
        <w:autoSpaceDE w:val="0"/>
        <w:autoSpaceDN w:val="0"/>
        <w:adjustRightInd w:val="0"/>
        <w:spacing w:line="360" w:lineRule="auto"/>
        <w:ind w:right="50"/>
        <w:jc w:val="both"/>
        <w:rPr>
          <w:rFonts w:ascii="Calibri" w:hAnsi="Calibri" w:cs="TheSans 3-Light"/>
          <w:spacing w:val="1"/>
          <w:kern w:val="1"/>
        </w:rPr>
      </w:pPr>
      <w:r w:rsidRPr="0094260C">
        <w:rPr>
          <w:rFonts w:ascii="Calibri" w:hAnsi="Calibri" w:cs="TheSans 3-Light"/>
          <w:spacing w:val="1"/>
          <w:kern w:val="1"/>
        </w:rPr>
        <w:t>Die medizinischen AGR-Gremien haben einen umfangreichen Kriterienkatalog definiert, den Beleuchtungen erfüllen müssen, um Ergonomie zu gewährleisten und mit dem AGR-Gütesiegel ausgezeichnet zu werden. Als erste Produkte wurden bislang die Waldmann-Leuchten aus der PARA.MI-Reihe für den Büroarbeitsplatz sowie die Modelle TANEO und TEVISO für den Industriearbeitsplatz den hohen Anforderungen gerecht. Folgende Kriterien sind unter anderem entscheidend, um Fehlhaltungen und damit Rückenbeschwerden zu vermeiden:</w:t>
      </w:r>
    </w:p>
    <w:p w:rsidR="0094260C" w:rsidRPr="0094260C" w:rsidRDefault="0094260C" w:rsidP="0094260C">
      <w:pPr>
        <w:pStyle w:val="Listenabsatz"/>
        <w:widowControl w:val="0"/>
        <w:numPr>
          <w:ilvl w:val="0"/>
          <w:numId w:val="1"/>
        </w:numPr>
        <w:autoSpaceDE w:val="0"/>
        <w:autoSpaceDN w:val="0"/>
        <w:adjustRightInd w:val="0"/>
        <w:spacing w:line="360" w:lineRule="auto"/>
        <w:ind w:right="50"/>
        <w:jc w:val="both"/>
        <w:rPr>
          <w:rFonts w:ascii="Calibri" w:hAnsi="Calibri" w:cs="TheSans 3-Light"/>
          <w:spacing w:val="1"/>
          <w:kern w:val="1"/>
        </w:rPr>
      </w:pPr>
      <w:r w:rsidRPr="0094260C">
        <w:rPr>
          <w:rFonts w:ascii="Calibri" w:hAnsi="Calibri" w:cs="TheSans 3-Light"/>
          <w:spacing w:val="1"/>
          <w:kern w:val="1"/>
        </w:rPr>
        <w:t xml:space="preserve">bedienerfreundliche und leichtgängige Verstellbarkeit der Leuchte über Gelenke oder verschiedene </w:t>
      </w:r>
      <w:proofErr w:type="spellStart"/>
      <w:r w:rsidRPr="0094260C">
        <w:rPr>
          <w:rFonts w:ascii="Calibri" w:hAnsi="Calibri" w:cs="TheSans 3-Light"/>
          <w:spacing w:val="1"/>
          <w:kern w:val="1"/>
        </w:rPr>
        <w:t>Gestängevarianten</w:t>
      </w:r>
      <w:proofErr w:type="spellEnd"/>
    </w:p>
    <w:p w:rsidR="0094260C" w:rsidRPr="0094260C" w:rsidRDefault="0094260C" w:rsidP="0094260C">
      <w:pPr>
        <w:pStyle w:val="Listenabsatz"/>
        <w:widowControl w:val="0"/>
        <w:numPr>
          <w:ilvl w:val="0"/>
          <w:numId w:val="1"/>
        </w:numPr>
        <w:tabs>
          <w:tab w:val="left" w:pos="600"/>
        </w:tabs>
        <w:autoSpaceDE w:val="0"/>
        <w:autoSpaceDN w:val="0"/>
        <w:adjustRightInd w:val="0"/>
        <w:spacing w:line="360" w:lineRule="auto"/>
        <w:ind w:right="50"/>
        <w:jc w:val="both"/>
        <w:rPr>
          <w:rFonts w:ascii="Calibri" w:hAnsi="Calibri" w:cs="TheSans 3-Light"/>
          <w:spacing w:val="1"/>
          <w:kern w:val="1"/>
        </w:rPr>
      </w:pPr>
      <w:r w:rsidRPr="0094260C">
        <w:rPr>
          <w:rFonts w:ascii="Calibri" w:hAnsi="Calibri" w:cs="TheSans 3-Light"/>
          <w:spacing w:val="1"/>
          <w:kern w:val="1"/>
        </w:rPr>
        <w:lastRenderedPageBreak/>
        <w:t xml:space="preserve">Die Leuchte muss den Anforderungen der jeweiligen Arbeitsaufgabe genügen durch: </w:t>
      </w:r>
    </w:p>
    <w:p w:rsidR="0094260C" w:rsidRPr="0094260C" w:rsidRDefault="0094260C" w:rsidP="0094260C">
      <w:pPr>
        <w:pStyle w:val="Listenabsatz"/>
        <w:widowControl w:val="0"/>
        <w:numPr>
          <w:ilvl w:val="1"/>
          <w:numId w:val="2"/>
        </w:numPr>
        <w:tabs>
          <w:tab w:val="left" w:pos="600"/>
        </w:tabs>
        <w:autoSpaceDE w:val="0"/>
        <w:autoSpaceDN w:val="0"/>
        <w:adjustRightInd w:val="0"/>
        <w:spacing w:line="360" w:lineRule="auto"/>
        <w:ind w:right="50"/>
        <w:jc w:val="both"/>
        <w:rPr>
          <w:rFonts w:ascii="Calibri" w:hAnsi="Calibri" w:cs="TheSans 3-Light"/>
          <w:spacing w:val="1"/>
          <w:kern w:val="1"/>
        </w:rPr>
      </w:pPr>
      <w:r w:rsidRPr="0094260C">
        <w:rPr>
          <w:rFonts w:ascii="Calibri" w:hAnsi="Calibri" w:cs="TheSans 3-Light"/>
          <w:kern w:val="1"/>
        </w:rPr>
        <w:t>Anpassung der Beleuchtungsstärke</w:t>
      </w:r>
    </w:p>
    <w:p w:rsidR="0094260C" w:rsidRDefault="0094260C" w:rsidP="0094260C">
      <w:pPr>
        <w:pStyle w:val="Listenabsatz"/>
        <w:widowControl w:val="0"/>
        <w:numPr>
          <w:ilvl w:val="1"/>
          <w:numId w:val="2"/>
        </w:numPr>
        <w:tabs>
          <w:tab w:val="left" w:pos="600"/>
        </w:tabs>
        <w:autoSpaceDE w:val="0"/>
        <w:autoSpaceDN w:val="0"/>
        <w:adjustRightInd w:val="0"/>
        <w:spacing w:line="360" w:lineRule="auto"/>
        <w:ind w:right="50"/>
        <w:jc w:val="both"/>
        <w:rPr>
          <w:rFonts w:ascii="Calibri" w:hAnsi="Calibri" w:cs="TheSans 3-Light"/>
          <w:spacing w:val="1"/>
          <w:kern w:val="1"/>
        </w:rPr>
      </w:pPr>
      <w:r>
        <w:rPr>
          <w:rFonts w:ascii="Calibri" w:hAnsi="Calibri" w:cs="TheSans 3-Light"/>
          <w:spacing w:val="1"/>
          <w:kern w:val="1"/>
        </w:rPr>
        <w:t>anwendungsgerechte Farbtemperaturen</w:t>
      </w:r>
    </w:p>
    <w:p w:rsidR="0094260C" w:rsidRPr="0094260C" w:rsidRDefault="0094260C" w:rsidP="0094260C">
      <w:pPr>
        <w:pStyle w:val="Listenabsatz"/>
        <w:widowControl w:val="0"/>
        <w:numPr>
          <w:ilvl w:val="1"/>
          <w:numId w:val="2"/>
        </w:numPr>
        <w:tabs>
          <w:tab w:val="left" w:pos="600"/>
        </w:tabs>
        <w:autoSpaceDE w:val="0"/>
        <w:autoSpaceDN w:val="0"/>
        <w:adjustRightInd w:val="0"/>
        <w:spacing w:line="360" w:lineRule="auto"/>
        <w:ind w:right="50"/>
        <w:jc w:val="both"/>
        <w:rPr>
          <w:rFonts w:ascii="Calibri" w:hAnsi="Calibri" w:cs="TheSans 3-Light"/>
          <w:spacing w:val="1"/>
          <w:kern w:val="1"/>
        </w:rPr>
      </w:pPr>
      <w:r w:rsidRPr="0094260C">
        <w:rPr>
          <w:rFonts w:ascii="Calibri" w:hAnsi="Calibri" w:cs="TheSans 3-Light"/>
          <w:spacing w:val="1"/>
          <w:kern w:val="1"/>
        </w:rPr>
        <w:t>stu</w:t>
      </w:r>
      <w:r>
        <w:rPr>
          <w:rFonts w:ascii="Calibri" w:hAnsi="Calibri" w:cs="TheSans 3-Light"/>
          <w:spacing w:val="1"/>
          <w:kern w:val="1"/>
        </w:rPr>
        <w:t xml:space="preserve">fenlose </w:t>
      </w:r>
      <w:proofErr w:type="spellStart"/>
      <w:r>
        <w:rPr>
          <w:rFonts w:ascii="Calibri" w:hAnsi="Calibri" w:cs="TheSans 3-Light"/>
          <w:spacing w:val="1"/>
          <w:kern w:val="1"/>
        </w:rPr>
        <w:t>Dimmregulation</w:t>
      </w:r>
      <w:proofErr w:type="spellEnd"/>
      <w:r>
        <w:rPr>
          <w:rFonts w:ascii="Calibri" w:hAnsi="Calibri" w:cs="TheSans 3-Light"/>
          <w:spacing w:val="1"/>
          <w:kern w:val="1"/>
        </w:rPr>
        <w:t>, Vermeidung von Reflexionen und weich verlaufende Beleuchtungs</w:t>
      </w:r>
      <w:r w:rsidRPr="0094260C">
        <w:rPr>
          <w:rFonts w:ascii="Calibri" w:hAnsi="Calibri" w:cs="TheSans 3-Light"/>
          <w:spacing w:val="1"/>
          <w:kern w:val="1"/>
        </w:rPr>
        <w:t>stärken</w:t>
      </w:r>
    </w:p>
    <w:p w:rsidR="0094260C" w:rsidRPr="0094260C" w:rsidRDefault="0094260C" w:rsidP="0094260C">
      <w:pPr>
        <w:pStyle w:val="Listenabsatz"/>
        <w:widowControl w:val="0"/>
        <w:numPr>
          <w:ilvl w:val="1"/>
          <w:numId w:val="2"/>
        </w:numPr>
        <w:tabs>
          <w:tab w:val="left" w:pos="380"/>
          <w:tab w:val="left" w:pos="600"/>
        </w:tabs>
        <w:autoSpaceDE w:val="0"/>
        <w:autoSpaceDN w:val="0"/>
        <w:adjustRightInd w:val="0"/>
        <w:spacing w:line="360" w:lineRule="auto"/>
        <w:ind w:right="50"/>
        <w:jc w:val="both"/>
        <w:rPr>
          <w:rFonts w:ascii="Calibri" w:hAnsi="Calibri" w:cs="TheSans 3-Light"/>
          <w:spacing w:val="1"/>
          <w:kern w:val="1"/>
        </w:rPr>
      </w:pPr>
      <w:r w:rsidRPr="0094260C">
        <w:rPr>
          <w:rFonts w:ascii="Calibri" w:hAnsi="Calibri" w:cs="TheSans 3-Light"/>
          <w:spacing w:val="1"/>
          <w:kern w:val="1"/>
        </w:rPr>
        <w:t>fläc</w:t>
      </w:r>
      <w:r>
        <w:rPr>
          <w:rFonts w:ascii="Calibri" w:hAnsi="Calibri" w:cs="TheSans 3-Light"/>
          <w:spacing w:val="1"/>
          <w:kern w:val="1"/>
        </w:rPr>
        <w:t xml:space="preserve">hige, homogene, flimmerfreie </w:t>
      </w:r>
      <w:r w:rsidRPr="0094260C">
        <w:rPr>
          <w:rFonts w:ascii="Calibri" w:hAnsi="Calibri" w:cs="TheSans 3-Light"/>
          <w:spacing w:val="1"/>
          <w:kern w:val="1"/>
        </w:rPr>
        <w:t xml:space="preserve">und </w:t>
      </w:r>
      <w:proofErr w:type="spellStart"/>
      <w:r w:rsidRPr="0094260C">
        <w:rPr>
          <w:rFonts w:ascii="Calibri" w:hAnsi="Calibri" w:cs="TheSans 3-Light"/>
          <w:spacing w:val="1"/>
          <w:kern w:val="1"/>
        </w:rPr>
        <w:t>blendarme</w:t>
      </w:r>
      <w:proofErr w:type="spellEnd"/>
      <w:r w:rsidRPr="0094260C">
        <w:rPr>
          <w:rFonts w:ascii="Calibri" w:hAnsi="Calibri" w:cs="TheSans 3-Light"/>
          <w:spacing w:val="1"/>
          <w:kern w:val="1"/>
        </w:rPr>
        <w:t xml:space="preserve"> Ausleuchtung</w:t>
      </w:r>
    </w:p>
    <w:p w:rsidR="0094260C" w:rsidRPr="0094260C" w:rsidRDefault="0094260C" w:rsidP="0094260C">
      <w:pPr>
        <w:pStyle w:val="Listenabsatz"/>
        <w:widowControl w:val="0"/>
        <w:numPr>
          <w:ilvl w:val="0"/>
          <w:numId w:val="3"/>
        </w:numPr>
        <w:tabs>
          <w:tab w:val="left" w:pos="380"/>
          <w:tab w:val="left" w:pos="600"/>
        </w:tabs>
        <w:autoSpaceDE w:val="0"/>
        <w:autoSpaceDN w:val="0"/>
        <w:adjustRightInd w:val="0"/>
        <w:spacing w:line="360" w:lineRule="auto"/>
        <w:ind w:right="50"/>
        <w:jc w:val="both"/>
        <w:rPr>
          <w:rFonts w:ascii="Calibri" w:hAnsi="Calibri" w:cs="TheSans 3-Light"/>
          <w:spacing w:val="1"/>
          <w:kern w:val="1"/>
        </w:rPr>
      </w:pPr>
      <w:r w:rsidRPr="0094260C">
        <w:rPr>
          <w:rFonts w:ascii="Calibri" w:hAnsi="Calibri" w:cs="TheSans 3-Light"/>
          <w:spacing w:val="1"/>
          <w:kern w:val="1"/>
        </w:rPr>
        <w:t>Erfüllung gesetzlicher Sicherheitsbestimmungen und normativer Anforderungen</w:t>
      </w:r>
    </w:p>
    <w:p w:rsidR="0094260C" w:rsidRPr="0094260C" w:rsidRDefault="0094260C" w:rsidP="0094260C">
      <w:pPr>
        <w:pStyle w:val="Listenabsatz"/>
        <w:widowControl w:val="0"/>
        <w:numPr>
          <w:ilvl w:val="0"/>
          <w:numId w:val="3"/>
        </w:numPr>
        <w:autoSpaceDE w:val="0"/>
        <w:autoSpaceDN w:val="0"/>
        <w:adjustRightInd w:val="0"/>
        <w:spacing w:line="360" w:lineRule="auto"/>
        <w:ind w:right="50"/>
        <w:jc w:val="both"/>
        <w:rPr>
          <w:rFonts w:ascii="Calibri" w:hAnsi="Calibri" w:cs="TheSans 3-Light"/>
          <w:spacing w:val="1"/>
          <w:kern w:val="1"/>
        </w:rPr>
      </w:pPr>
      <w:r w:rsidRPr="0094260C">
        <w:rPr>
          <w:rFonts w:ascii="Calibri" w:hAnsi="Calibri" w:cs="TheSans 3-Light"/>
          <w:spacing w:val="1"/>
          <w:kern w:val="1"/>
        </w:rPr>
        <w:t>einfache Reinigungsmöglichkeit</w:t>
      </w:r>
    </w:p>
    <w:p w:rsidR="0094260C" w:rsidRPr="0094260C" w:rsidRDefault="0094260C" w:rsidP="0094260C">
      <w:pPr>
        <w:widowControl w:val="0"/>
        <w:autoSpaceDE w:val="0"/>
        <w:autoSpaceDN w:val="0"/>
        <w:adjustRightInd w:val="0"/>
        <w:spacing w:line="360" w:lineRule="auto"/>
        <w:ind w:right="50"/>
        <w:jc w:val="both"/>
        <w:rPr>
          <w:rFonts w:ascii="Calibri" w:hAnsi="Calibri" w:cs="TheSans 3-Light"/>
          <w:spacing w:val="1"/>
          <w:kern w:val="1"/>
        </w:rPr>
      </w:pPr>
    </w:p>
    <w:p w:rsidR="0094260C" w:rsidRPr="0094260C" w:rsidRDefault="0094260C" w:rsidP="0094260C">
      <w:pPr>
        <w:widowControl w:val="0"/>
        <w:autoSpaceDE w:val="0"/>
        <w:autoSpaceDN w:val="0"/>
        <w:adjustRightInd w:val="0"/>
        <w:spacing w:line="360" w:lineRule="auto"/>
        <w:ind w:right="50"/>
        <w:jc w:val="both"/>
        <w:rPr>
          <w:rFonts w:ascii="Calibri" w:hAnsi="Calibri" w:cs="TheSans 3-Light"/>
          <w:spacing w:val="1"/>
          <w:kern w:val="1"/>
        </w:rPr>
      </w:pPr>
      <w:r w:rsidRPr="0094260C">
        <w:rPr>
          <w:rFonts w:ascii="Calibri" w:hAnsi="Calibri" w:cs="TheSans 3-Light"/>
          <w:spacing w:val="1"/>
          <w:kern w:val="1"/>
        </w:rPr>
        <w:t>Leuchten am Industriearbeitsplatz müssen zudem das Sehen im Nahbereich unterstützen.</w:t>
      </w:r>
    </w:p>
    <w:p w:rsidR="0094260C" w:rsidRPr="0094260C" w:rsidRDefault="0094260C" w:rsidP="0094260C">
      <w:pPr>
        <w:widowControl w:val="0"/>
        <w:autoSpaceDE w:val="0"/>
        <w:autoSpaceDN w:val="0"/>
        <w:adjustRightInd w:val="0"/>
        <w:spacing w:line="360" w:lineRule="auto"/>
        <w:ind w:right="50"/>
        <w:jc w:val="both"/>
        <w:rPr>
          <w:rFonts w:ascii="Calibri" w:hAnsi="Calibri" w:cs="TheSans 7-Bold"/>
          <w:b/>
          <w:bCs/>
          <w:spacing w:val="2"/>
          <w:kern w:val="1"/>
        </w:rPr>
      </w:pPr>
      <w:bookmarkStart w:id="0" w:name="_GoBack"/>
      <w:bookmarkEnd w:id="0"/>
    </w:p>
    <w:p w:rsidR="0094260C" w:rsidRPr="0094260C" w:rsidRDefault="0094260C" w:rsidP="0094260C">
      <w:pPr>
        <w:widowControl w:val="0"/>
        <w:autoSpaceDE w:val="0"/>
        <w:autoSpaceDN w:val="0"/>
        <w:adjustRightInd w:val="0"/>
        <w:spacing w:line="360" w:lineRule="auto"/>
        <w:ind w:right="50"/>
        <w:jc w:val="both"/>
        <w:rPr>
          <w:rFonts w:ascii="Calibri" w:hAnsi="Calibri" w:cs="TheSans 7-Bold"/>
          <w:b/>
          <w:bCs/>
          <w:spacing w:val="2"/>
          <w:kern w:val="1"/>
        </w:rPr>
      </w:pPr>
      <w:r w:rsidRPr="0094260C">
        <w:rPr>
          <w:rFonts w:ascii="Calibri" w:hAnsi="Calibri" w:cs="TheSans 7-Bold"/>
          <w:b/>
          <w:bCs/>
          <w:spacing w:val="2"/>
          <w:kern w:val="1"/>
        </w:rPr>
        <w:t xml:space="preserve">Weitere Infos: </w:t>
      </w:r>
    </w:p>
    <w:p w:rsidR="0094260C" w:rsidRPr="0094260C" w:rsidRDefault="0094260C" w:rsidP="0094260C">
      <w:pPr>
        <w:widowControl w:val="0"/>
        <w:autoSpaceDE w:val="0"/>
        <w:autoSpaceDN w:val="0"/>
        <w:adjustRightInd w:val="0"/>
        <w:spacing w:line="360" w:lineRule="auto"/>
        <w:ind w:right="50"/>
        <w:jc w:val="both"/>
        <w:rPr>
          <w:rFonts w:ascii="Calibri" w:hAnsi="Calibri" w:cs="TheSans 7-Bold"/>
          <w:b/>
          <w:bCs/>
          <w:spacing w:val="2"/>
          <w:kern w:val="1"/>
        </w:rPr>
      </w:pPr>
      <w:r w:rsidRPr="0094260C">
        <w:rPr>
          <w:rFonts w:ascii="Calibri" w:hAnsi="Calibri" w:cs="TheSans 7-Bold"/>
          <w:b/>
          <w:bCs/>
          <w:spacing w:val="2"/>
          <w:kern w:val="1"/>
        </w:rPr>
        <w:t>www.agr-ev.de/industriearbeitsplatzleuchten</w:t>
      </w:r>
    </w:p>
    <w:p w:rsidR="0094260C" w:rsidRPr="0094260C" w:rsidRDefault="0094260C" w:rsidP="0094260C">
      <w:pPr>
        <w:widowControl w:val="0"/>
        <w:autoSpaceDE w:val="0"/>
        <w:autoSpaceDN w:val="0"/>
        <w:adjustRightInd w:val="0"/>
        <w:spacing w:line="360" w:lineRule="auto"/>
        <w:ind w:right="50"/>
        <w:jc w:val="both"/>
        <w:rPr>
          <w:rFonts w:ascii="Calibri" w:hAnsi="Calibri" w:cs="TheSans 7-Bold"/>
          <w:b/>
          <w:bCs/>
          <w:spacing w:val="2"/>
          <w:kern w:val="1"/>
        </w:rPr>
      </w:pPr>
      <w:r w:rsidRPr="0094260C">
        <w:rPr>
          <w:rFonts w:ascii="Calibri" w:hAnsi="Calibri" w:cs="TheSans 7-Bold"/>
          <w:b/>
          <w:bCs/>
          <w:spacing w:val="2"/>
          <w:kern w:val="1"/>
        </w:rPr>
        <w:t>www.agr-ev.de/schreibtischleuchten</w:t>
      </w:r>
    </w:p>
    <w:p w:rsidR="0094260C" w:rsidRPr="0094260C" w:rsidRDefault="0094260C" w:rsidP="0094260C">
      <w:pPr>
        <w:widowControl w:val="0"/>
        <w:autoSpaceDE w:val="0"/>
        <w:autoSpaceDN w:val="0"/>
        <w:adjustRightInd w:val="0"/>
        <w:spacing w:line="360" w:lineRule="auto"/>
        <w:ind w:right="50"/>
        <w:jc w:val="both"/>
        <w:rPr>
          <w:rFonts w:ascii="Calibri" w:hAnsi="Calibri" w:cs="TheSans 7-Bold"/>
          <w:b/>
          <w:bCs/>
          <w:spacing w:val="2"/>
          <w:kern w:val="1"/>
        </w:rPr>
      </w:pPr>
      <w:r w:rsidRPr="0094260C">
        <w:rPr>
          <w:rFonts w:ascii="Calibri" w:hAnsi="Calibri" w:cs="TheSans 7-Bold"/>
          <w:b/>
          <w:bCs/>
          <w:spacing w:val="2"/>
          <w:kern w:val="1"/>
        </w:rPr>
        <w:t>www.waldmann.com</w:t>
      </w:r>
    </w:p>
    <w:p w:rsidR="0094260C" w:rsidRPr="0094260C" w:rsidRDefault="0094260C" w:rsidP="0094260C">
      <w:pPr>
        <w:widowControl w:val="0"/>
        <w:autoSpaceDE w:val="0"/>
        <w:autoSpaceDN w:val="0"/>
        <w:adjustRightInd w:val="0"/>
        <w:spacing w:line="360" w:lineRule="auto"/>
        <w:ind w:right="50"/>
        <w:jc w:val="both"/>
        <w:rPr>
          <w:rFonts w:ascii="Calibri" w:hAnsi="Calibri" w:cs="TheSans 7-Bold"/>
          <w:b/>
          <w:bCs/>
          <w:spacing w:val="2"/>
          <w:kern w:val="1"/>
        </w:rPr>
      </w:pPr>
    </w:p>
    <w:p w:rsidR="00DC2F35" w:rsidRPr="0094260C" w:rsidRDefault="00DC2F35" w:rsidP="0094260C">
      <w:pPr>
        <w:spacing w:line="360" w:lineRule="auto"/>
        <w:ind w:right="50"/>
        <w:jc w:val="both"/>
        <w:rPr>
          <w:rFonts w:ascii="Calibri" w:hAnsi="Calibri"/>
        </w:rPr>
      </w:pPr>
    </w:p>
    <w:sectPr w:rsidR="00DC2F35" w:rsidRPr="0094260C" w:rsidSect="00832AC7">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heSans 3-Ligh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Impact">
    <w:panose1 w:val="020B0806030902050204"/>
    <w:charset w:val="00"/>
    <w:family w:val="auto"/>
    <w:pitch w:val="variable"/>
    <w:sig w:usb0="00000287" w:usb1="00000000" w:usb2="00000000" w:usb3="00000000" w:csb0="0000009F" w:csb1="00000000"/>
  </w:font>
  <w:font w:name="TheSans 7-Bol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92529"/>
    <w:multiLevelType w:val="hybridMultilevel"/>
    <w:tmpl w:val="B45001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D4D6EB2"/>
    <w:multiLevelType w:val="hybridMultilevel"/>
    <w:tmpl w:val="81C27486"/>
    <w:lvl w:ilvl="0" w:tplc="04070001">
      <w:start w:val="1"/>
      <w:numFmt w:val="bullet"/>
      <w:lvlText w:val=""/>
      <w:lvlJc w:val="left"/>
      <w:pPr>
        <w:ind w:left="720" w:hanging="360"/>
      </w:pPr>
      <w:rPr>
        <w:rFonts w:ascii="Symbol" w:hAnsi="Symbol" w:hint="default"/>
      </w:rPr>
    </w:lvl>
    <w:lvl w:ilvl="1" w:tplc="A1FA8C00">
      <w:numFmt w:val="bullet"/>
      <w:lvlText w:val="-"/>
      <w:lvlJc w:val="left"/>
      <w:pPr>
        <w:ind w:left="1900" w:hanging="820"/>
      </w:pPr>
      <w:rPr>
        <w:rFonts w:ascii="Calibri" w:eastAsiaTheme="minorEastAsia" w:hAnsi="Calibri" w:cs="TheSans 3-Ligh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004D76"/>
    <w:multiLevelType w:val="hybridMultilevel"/>
    <w:tmpl w:val="9120FA1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0C"/>
    <w:rsid w:val="008916F5"/>
    <w:rsid w:val="0094260C"/>
    <w:rsid w:val="009D10B3"/>
    <w:rsid w:val="00BC4357"/>
    <w:rsid w:val="00DC2F3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2DA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Listenabsatz">
    <w:name w:val="List Paragraph"/>
    <w:basedOn w:val="Standard"/>
    <w:uiPriority w:val="34"/>
    <w:qFormat/>
    <w:rsid w:val="009426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Listenabsatz">
    <w:name w:val="List Paragraph"/>
    <w:basedOn w:val="Standard"/>
    <w:uiPriority w:val="34"/>
    <w:qFormat/>
    <w:rsid w:val="00942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2392</Characters>
  <Application>Microsoft Macintosh Word</Application>
  <DocSecurity>0</DocSecurity>
  <Lines>19</Lines>
  <Paragraphs>5</Paragraphs>
  <ScaleCrop>false</ScaleCrop>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Moyses</dc:creator>
  <cp:keywords/>
  <dc:description/>
  <cp:lastModifiedBy>Martina Moyses</cp:lastModifiedBy>
  <cp:revision>1</cp:revision>
  <dcterms:created xsi:type="dcterms:W3CDTF">2017-02-08T15:41:00Z</dcterms:created>
  <dcterms:modified xsi:type="dcterms:W3CDTF">2017-02-08T15:44:00Z</dcterms:modified>
</cp:coreProperties>
</file>