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052A" w:rsidRPr="001A052A" w:rsidRDefault="001A052A" w:rsidP="001A052A">
      <w:pPr>
        <w:widowControl w:val="0"/>
        <w:autoSpaceDE w:val="0"/>
        <w:autoSpaceDN w:val="0"/>
        <w:adjustRightInd w:val="0"/>
        <w:spacing w:line="360" w:lineRule="auto"/>
        <w:ind w:right="50"/>
        <w:jc w:val="both"/>
        <w:rPr>
          <w:rFonts w:ascii="Calibri" w:hAnsi="Calibri" w:cs="Impact"/>
          <w:b/>
          <w:bCs/>
          <w:spacing w:val="3"/>
          <w:kern w:val="1"/>
          <w:sz w:val="28"/>
        </w:rPr>
      </w:pPr>
      <w:r w:rsidRPr="001A052A">
        <w:rPr>
          <w:rFonts w:ascii="Calibri" w:hAnsi="Calibri" w:cs="Impact"/>
          <w:b/>
          <w:bCs/>
          <w:spacing w:val="3"/>
          <w:kern w:val="1"/>
          <w:sz w:val="28"/>
        </w:rPr>
        <w:t>Sitzen ist tödlich! Was nun?</w:t>
      </w:r>
    </w:p>
    <w:p w:rsidR="001A052A" w:rsidRPr="001A052A" w:rsidRDefault="001A052A" w:rsidP="001A052A">
      <w:pPr>
        <w:widowControl w:val="0"/>
        <w:autoSpaceDE w:val="0"/>
        <w:autoSpaceDN w:val="0"/>
        <w:adjustRightInd w:val="0"/>
        <w:spacing w:line="360" w:lineRule="auto"/>
        <w:ind w:right="50"/>
        <w:jc w:val="both"/>
        <w:rPr>
          <w:rFonts w:ascii="Calibri" w:hAnsi="Calibri" w:cs="Impact"/>
          <w:b/>
          <w:bCs/>
          <w:spacing w:val="2"/>
          <w:kern w:val="1"/>
          <w:sz w:val="28"/>
        </w:rPr>
      </w:pPr>
      <w:r w:rsidRPr="001A052A">
        <w:rPr>
          <w:rFonts w:ascii="Calibri" w:hAnsi="Calibri" w:cs="Impact"/>
          <w:b/>
          <w:bCs/>
          <w:spacing w:val="2"/>
          <w:kern w:val="1"/>
          <w:sz w:val="28"/>
        </w:rPr>
        <w:t xml:space="preserve">Raus aus der (Sitz-) Trägheitsfalle    </w:t>
      </w:r>
    </w:p>
    <w:p w:rsidR="001A052A" w:rsidRPr="001A052A" w:rsidRDefault="001A052A" w:rsidP="001A052A">
      <w:pPr>
        <w:widowControl w:val="0"/>
        <w:autoSpaceDE w:val="0"/>
        <w:autoSpaceDN w:val="0"/>
        <w:adjustRightInd w:val="0"/>
        <w:spacing w:line="360" w:lineRule="auto"/>
        <w:ind w:right="50"/>
        <w:jc w:val="both"/>
        <w:rPr>
          <w:rFonts w:ascii="Calibri" w:hAnsi="Calibri" w:cs="TheSans 3-Light"/>
          <w:spacing w:val="1"/>
          <w:kern w:val="1"/>
        </w:rPr>
      </w:pPr>
      <w:r w:rsidRPr="001A052A">
        <w:rPr>
          <w:rFonts w:ascii="Calibri" w:hAnsi="Calibri" w:cs="Impact"/>
          <w:b/>
          <w:bCs/>
          <w:spacing w:val="2"/>
          <w:kern w:val="1"/>
        </w:rPr>
        <w:t xml:space="preserve">                  </w:t>
      </w:r>
      <w:r w:rsidRPr="001A052A">
        <w:rPr>
          <w:rFonts w:ascii="Calibri" w:hAnsi="Calibri" w:cs="TheSans 3-Light"/>
          <w:spacing w:val="1"/>
          <w:kern w:val="1"/>
        </w:rPr>
        <w:t xml:space="preserve">                                                       </w:t>
      </w:r>
    </w:p>
    <w:p w:rsidR="001A052A" w:rsidRPr="001A052A" w:rsidRDefault="001A052A" w:rsidP="001A052A">
      <w:pPr>
        <w:widowControl w:val="0"/>
        <w:autoSpaceDE w:val="0"/>
        <w:autoSpaceDN w:val="0"/>
        <w:adjustRightInd w:val="0"/>
        <w:spacing w:line="360" w:lineRule="auto"/>
        <w:ind w:right="50"/>
        <w:jc w:val="both"/>
        <w:rPr>
          <w:rFonts w:ascii="Calibri" w:hAnsi="Calibri" w:cs="TheSans 3-Light"/>
          <w:spacing w:val="-2"/>
          <w:kern w:val="1"/>
        </w:rPr>
      </w:pPr>
      <w:r w:rsidRPr="001A052A">
        <w:rPr>
          <w:rFonts w:ascii="Calibri" w:hAnsi="Calibri" w:cs="TheSans 3-Light"/>
          <w:spacing w:val="-2"/>
          <w:kern w:val="1"/>
        </w:rPr>
        <w:t>S</w:t>
      </w:r>
      <w:r w:rsidRPr="001A052A">
        <w:rPr>
          <w:rFonts w:ascii="Calibri" w:hAnsi="Calibri" w:cs="TheSans 3-Light"/>
          <w:kern w:val="1"/>
        </w:rPr>
        <w:t xml:space="preserve">itzen dominiert unseren Alltag. Die aktuelle Forschungslage macht deutlich, dass </w:t>
      </w:r>
      <w:proofErr w:type="gramStart"/>
      <w:r w:rsidRPr="001A052A">
        <w:rPr>
          <w:rFonts w:ascii="Calibri" w:hAnsi="Calibri" w:cs="TheSans 3-Light"/>
          <w:kern w:val="1"/>
        </w:rPr>
        <w:t>bei Weitem</w:t>
      </w:r>
      <w:proofErr w:type="gramEnd"/>
      <w:r w:rsidRPr="001A052A">
        <w:rPr>
          <w:rFonts w:ascii="Calibri" w:hAnsi="Calibri" w:cs="TheSans 3-Light"/>
          <w:kern w:val="1"/>
        </w:rPr>
        <w:t xml:space="preserve"> nicht nur Rückenbeschwerden ihre Ursache im Dauersitzen haben. Zusammengenommen sind die wissenschaftlichen Erkenntnisse so aussagestark, dass sie in den Medien ganz zu Recht mit „Sitzen ist das neue Rauchen“, „Sitze</w:t>
      </w:r>
      <w:bookmarkStart w:id="0" w:name="_GoBack"/>
      <w:bookmarkEnd w:id="0"/>
      <w:r w:rsidRPr="001A052A">
        <w:rPr>
          <w:rFonts w:ascii="Calibri" w:hAnsi="Calibri" w:cs="TheSans 3-Light"/>
          <w:kern w:val="1"/>
        </w:rPr>
        <w:t>n ist tödlich“ oder „Sitzen macht dumm“ überschrieben werden. Insbesondere ein über Stunden ausgeübtes passives Sitzen stellt das zentrale Gesundheitsrisiko für multiple Krankheitsbilder dar und begünstigt die Zunahme des Mortalitätsrisikos.</w:t>
      </w:r>
      <w:r w:rsidRPr="001A052A">
        <w:rPr>
          <w:rFonts w:ascii="Calibri" w:hAnsi="Calibri" w:cs="TheSans 3-Light"/>
          <w:kern w:val="1"/>
          <w:vertAlign w:val="superscript"/>
        </w:rPr>
        <w:t>1</w:t>
      </w:r>
      <w:r w:rsidRPr="001A052A">
        <w:rPr>
          <w:rFonts w:ascii="Calibri" w:hAnsi="Calibri" w:cs="TheSans 3-Light"/>
          <w:kern w:val="1"/>
        </w:rPr>
        <w:t xml:space="preserve"> Und dies gilt unabhängig von körperlichen Aktivitäten wie Sport oder Fitness in der Freizeit.</w:t>
      </w:r>
      <w:r w:rsidRPr="001A052A">
        <w:rPr>
          <w:rFonts w:ascii="Calibri" w:hAnsi="Calibri" w:cs="TheSans 3-Light"/>
          <w:kern w:val="1"/>
          <w:vertAlign w:val="superscript"/>
        </w:rPr>
        <w:t>2</w:t>
      </w:r>
      <w:r w:rsidRPr="001A052A">
        <w:rPr>
          <w:rFonts w:ascii="Calibri" w:hAnsi="Calibri" w:cs="TheSans 3-Light"/>
          <w:kern w:val="1"/>
        </w:rPr>
        <w:t xml:space="preserve"> Grundübel ist eine über Stunden aufrechterhaltene Inaktivität, der negative Effekt reduzierter Muskelaktivität auf metabolische Prozesse.</w:t>
      </w:r>
    </w:p>
    <w:p w:rsidR="001A052A" w:rsidRPr="001A052A" w:rsidRDefault="001A052A" w:rsidP="001A052A">
      <w:pPr>
        <w:widowControl w:val="0"/>
        <w:autoSpaceDE w:val="0"/>
        <w:autoSpaceDN w:val="0"/>
        <w:adjustRightInd w:val="0"/>
        <w:spacing w:line="360" w:lineRule="auto"/>
        <w:ind w:right="50"/>
        <w:jc w:val="both"/>
        <w:rPr>
          <w:rFonts w:ascii="Calibri" w:hAnsi="Calibri" w:cs="TheSans 7-Bold"/>
          <w:b/>
          <w:bCs/>
          <w:kern w:val="1"/>
        </w:rPr>
      </w:pPr>
    </w:p>
    <w:p w:rsidR="001A052A" w:rsidRPr="001A052A" w:rsidRDefault="001A052A" w:rsidP="001A052A">
      <w:pPr>
        <w:widowControl w:val="0"/>
        <w:autoSpaceDE w:val="0"/>
        <w:autoSpaceDN w:val="0"/>
        <w:adjustRightInd w:val="0"/>
        <w:spacing w:line="360" w:lineRule="auto"/>
        <w:ind w:right="50"/>
        <w:jc w:val="both"/>
        <w:rPr>
          <w:rFonts w:ascii="Calibri" w:hAnsi="Calibri" w:cs="TheSans 7-Bold"/>
          <w:b/>
          <w:bCs/>
          <w:kern w:val="1"/>
        </w:rPr>
      </w:pPr>
      <w:r w:rsidRPr="001A052A">
        <w:rPr>
          <w:rFonts w:ascii="Calibri" w:hAnsi="Calibri" w:cs="TheSans 7-Bold"/>
          <w:b/>
          <w:bCs/>
          <w:kern w:val="1"/>
        </w:rPr>
        <w:t xml:space="preserve">Bewegung im Alltag: </w:t>
      </w:r>
    </w:p>
    <w:p w:rsidR="001A052A" w:rsidRPr="001A052A" w:rsidRDefault="001A052A" w:rsidP="001A052A">
      <w:pPr>
        <w:widowControl w:val="0"/>
        <w:autoSpaceDE w:val="0"/>
        <w:autoSpaceDN w:val="0"/>
        <w:adjustRightInd w:val="0"/>
        <w:spacing w:line="360" w:lineRule="auto"/>
        <w:ind w:right="50"/>
        <w:jc w:val="both"/>
        <w:rPr>
          <w:rFonts w:ascii="Calibri" w:hAnsi="Calibri" w:cs="TheSans 7-Bold"/>
          <w:b/>
          <w:bCs/>
          <w:kern w:val="1"/>
        </w:rPr>
      </w:pPr>
      <w:r w:rsidRPr="001A052A">
        <w:rPr>
          <w:rFonts w:ascii="Calibri" w:hAnsi="Calibri" w:cs="TheSans 7-Bold"/>
          <w:b/>
          <w:bCs/>
          <w:kern w:val="1"/>
        </w:rPr>
        <w:t>Integration statt Kompensation</w:t>
      </w:r>
    </w:p>
    <w:p w:rsidR="001A052A" w:rsidRPr="001A052A" w:rsidRDefault="001A052A" w:rsidP="001A052A">
      <w:pPr>
        <w:widowControl w:val="0"/>
        <w:autoSpaceDE w:val="0"/>
        <w:autoSpaceDN w:val="0"/>
        <w:adjustRightInd w:val="0"/>
        <w:spacing w:line="360" w:lineRule="auto"/>
        <w:ind w:right="50"/>
        <w:jc w:val="both"/>
        <w:rPr>
          <w:rFonts w:ascii="Calibri" w:hAnsi="Calibri" w:cs="TheSans 3-Light"/>
          <w:kern w:val="1"/>
          <w:vertAlign w:val="superscript"/>
        </w:rPr>
      </w:pPr>
      <w:r w:rsidRPr="001A052A">
        <w:rPr>
          <w:rFonts w:ascii="Calibri" w:hAnsi="Calibri" w:cs="TheSans 3-Light"/>
          <w:kern w:val="1"/>
        </w:rPr>
        <w:t>Die entscheidenden Säulen für ein gesundes Leben sind: Sozialkontakte, ausgewogene Ernährung und vor allem regelmäßige Bewegung. Immer mehr Studien belegen die genetisch hinterlassene Abhängigkeit moderater, aber regelmäßiger körperlicher Aktivität. Sie sind zur Aufrechterhaltung gesunder körperlicher</w:t>
      </w:r>
      <w:proofErr w:type="gramStart"/>
      <w:r w:rsidRPr="001A052A">
        <w:rPr>
          <w:rFonts w:ascii="Calibri" w:hAnsi="Calibri" w:cs="TheSans 3-Light"/>
          <w:kern w:val="1"/>
        </w:rPr>
        <w:t>, geistiger</w:t>
      </w:r>
      <w:proofErr w:type="gramEnd"/>
      <w:r w:rsidRPr="001A052A">
        <w:rPr>
          <w:rFonts w:ascii="Calibri" w:hAnsi="Calibri" w:cs="TheSans 3-Light"/>
          <w:kern w:val="1"/>
        </w:rPr>
        <w:t xml:space="preserve"> und emotionaler Wechselwirkungsprozesse von entscheidender Bedeutung. Unsere Arbeits- und Lebensräume des Alltages sollten folglich ein bewegtes Verhalten regelmäßig einfordern. Variable Positionsveränderungen sowie räumliche Wechsel können sich dann bedarfsgerecht und selbstorganisiert ergeben, ohne dass sie uns immer bewusst sind. Ein solch spontanes und bewegtes Verhalten entfaltet sich stets dann, wenn ein direkter „Versorgungsbedarf“ biologischer Funktionen erforderlich ist. Ein typisches Beispiel ist der selbstorganisierte Spiel- und Standbeinwechsel beim freien Stehen oder das Hin- und Hergehen beim Telefonieren. Diesen Aktivitäten wird ein günstiger Verlauf auf unsere körperlichen, geistigen und emotionalen Prozesse attestiert.</w:t>
      </w:r>
      <w:r w:rsidRPr="001A052A">
        <w:rPr>
          <w:rFonts w:ascii="Calibri" w:hAnsi="Calibri" w:cs="TheSans 3-Light"/>
          <w:kern w:val="1"/>
          <w:vertAlign w:val="superscript"/>
        </w:rPr>
        <w:t xml:space="preserve">3 </w:t>
      </w:r>
    </w:p>
    <w:p w:rsidR="001A052A" w:rsidRPr="001A052A" w:rsidRDefault="001A052A" w:rsidP="001A052A">
      <w:pPr>
        <w:widowControl w:val="0"/>
        <w:autoSpaceDE w:val="0"/>
        <w:autoSpaceDN w:val="0"/>
        <w:adjustRightInd w:val="0"/>
        <w:spacing w:line="360" w:lineRule="auto"/>
        <w:ind w:right="50"/>
        <w:jc w:val="both"/>
        <w:rPr>
          <w:rFonts w:ascii="Calibri" w:hAnsi="Calibri" w:cs="TheSans 3-Light"/>
          <w:kern w:val="1"/>
          <w:vertAlign w:val="superscript"/>
        </w:rPr>
      </w:pPr>
    </w:p>
    <w:p w:rsidR="001A052A" w:rsidRPr="001A052A" w:rsidRDefault="001A052A" w:rsidP="001A052A">
      <w:pPr>
        <w:widowControl w:val="0"/>
        <w:autoSpaceDE w:val="0"/>
        <w:autoSpaceDN w:val="0"/>
        <w:adjustRightInd w:val="0"/>
        <w:spacing w:line="360" w:lineRule="auto"/>
        <w:ind w:right="50"/>
        <w:jc w:val="both"/>
        <w:rPr>
          <w:rFonts w:ascii="Calibri" w:hAnsi="Calibri" w:cs="TheSans 3-Light"/>
          <w:kern w:val="1"/>
          <w:vertAlign w:val="superscript"/>
        </w:rPr>
      </w:pPr>
    </w:p>
    <w:p w:rsidR="001A052A" w:rsidRPr="001A052A" w:rsidRDefault="001A052A" w:rsidP="001A052A">
      <w:pPr>
        <w:widowControl w:val="0"/>
        <w:autoSpaceDE w:val="0"/>
        <w:autoSpaceDN w:val="0"/>
        <w:adjustRightInd w:val="0"/>
        <w:spacing w:line="360" w:lineRule="auto"/>
        <w:ind w:right="50"/>
        <w:jc w:val="both"/>
        <w:rPr>
          <w:rFonts w:ascii="Calibri" w:hAnsi="Calibri" w:cs="TheSans 3-Light"/>
          <w:kern w:val="1"/>
        </w:rPr>
      </w:pPr>
    </w:p>
    <w:p w:rsidR="001A052A" w:rsidRPr="001A052A" w:rsidRDefault="001A052A" w:rsidP="001A052A">
      <w:pPr>
        <w:widowControl w:val="0"/>
        <w:autoSpaceDE w:val="0"/>
        <w:autoSpaceDN w:val="0"/>
        <w:adjustRightInd w:val="0"/>
        <w:spacing w:line="360" w:lineRule="auto"/>
        <w:ind w:right="50"/>
        <w:jc w:val="both"/>
        <w:rPr>
          <w:rFonts w:ascii="Calibri" w:hAnsi="Calibri" w:cs="TheSans 7-Bold"/>
          <w:b/>
          <w:bCs/>
          <w:kern w:val="1"/>
        </w:rPr>
      </w:pPr>
      <w:r w:rsidRPr="001A052A">
        <w:rPr>
          <w:rFonts w:ascii="Calibri" w:hAnsi="Calibri" w:cs="TheSans 7-Bold"/>
          <w:b/>
          <w:bCs/>
          <w:kern w:val="1"/>
        </w:rPr>
        <w:lastRenderedPageBreak/>
        <w:t>Räume brauchen Raum für Bewegung</w:t>
      </w:r>
    </w:p>
    <w:p w:rsidR="001A052A" w:rsidRPr="001A052A" w:rsidRDefault="001A052A" w:rsidP="001A052A">
      <w:pPr>
        <w:widowControl w:val="0"/>
        <w:autoSpaceDE w:val="0"/>
        <w:autoSpaceDN w:val="0"/>
        <w:adjustRightInd w:val="0"/>
        <w:spacing w:line="360" w:lineRule="auto"/>
        <w:ind w:right="50"/>
        <w:jc w:val="both"/>
        <w:rPr>
          <w:rFonts w:ascii="Calibri" w:hAnsi="Calibri" w:cs="TheSans 3-Light"/>
          <w:kern w:val="1"/>
        </w:rPr>
      </w:pPr>
      <w:r w:rsidRPr="001A052A">
        <w:rPr>
          <w:rFonts w:ascii="Calibri" w:hAnsi="Calibri" w:cs="TheSans 3-Light"/>
          <w:kern w:val="1"/>
        </w:rPr>
        <w:t>Arbeits- sowie Raumkonzepte, die den Menschen ausschließlich an seinen Computerarbeitsplatz „fesseln“ sind  folglich nicht human und letztlich auf Dauer auch wenig wirtschaftlich. Aktuelle Studien belegen, dass regelmäßige Unterbrechungen des Sitzens, deren gesundheitsschädigende Wirkungen mildern können.</w:t>
      </w:r>
      <w:r w:rsidRPr="001A052A">
        <w:rPr>
          <w:rFonts w:ascii="Calibri" w:hAnsi="Calibri" w:cs="TheSans 3-Light"/>
          <w:kern w:val="1"/>
          <w:vertAlign w:val="superscript"/>
        </w:rPr>
        <w:t>4</w:t>
      </w:r>
      <w:r w:rsidRPr="001A052A">
        <w:rPr>
          <w:rFonts w:ascii="Calibri" w:hAnsi="Calibri" w:cs="TheSans 3-Light"/>
          <w:kern w:val="1"/>
        </w:rPr>
        <w:t xml:space="preserve"> Je nach Tätigkeit sollte im Büro maximal vier bis fünf Stunden gesessen werden und immer wieder durch temporäres Stehen sowie viele fußläufige Bewegungen in den Innen- und Außenräumen unterbrochen werden. </w:t>
      </w:r>
    </w:p>
    <w:p w:rsidR="001A052A" w:rsidRPr="001A052A" w:rsidRDefault="001A052A" w:rsidP="001A052A">
      <w:pPr>
        <w:widowControl w:val="0"/>
        <w:autoSpaceDE w:val="0"/>
        <w:autoSpaceDN w:val="0"/>
        <w:adjustRightInd w:val="0"/>
        <w:spacing w:line="360" w:lineRule="auto"/>
        <w:ind w:right="50"/>
        <w:jc w:val="both"/>
        <w:rPr>
          <w:rFonts w:ascii="Calibri" w:hAnsi="Calibri" w:cs="TheSans 3-Light"/>
          <w:kern w:val="1"/>
        </w:rPr>
      </w:pPr>
    </w:p>
    <w:p w:rsidR="001A052A" w:rsidRPr="001A052A" w:rsidRDefault="001A052A" w:rsidP="001A052A">
      <w:pPr>
        <w:widowControl w:val="0"/>
        <w:autoSpaceDE w:val="0"/>
        <w:autoSpaceDN w:val="0"/>
        <w:adjustRightInd w:val="0"/>
        <w:spacing w:line="360" w:lineRule="auto"/>
        <w:ind w:right="50"/>
        <w:jc w:val="both"/>
        <w:rPr>
          <w:rFonts w:ascii="Calibri" w:hAnsi="Calibri" w:cs="TheSans 7-Bold"/>
          <w:b/>
          <w:bCs/>
          <w:kern w:val="1"/>
        </w:rPr>
      </w:pPr>
      <w:r w:rsidRPr="001A052A">
        <w:rPr>
          <w:rFonts w:ascii="Calibri" w:hAnsi="Calibri" w:cs="TheSans 7-Bold"/>
          <w:b/>
          <w:bCs/>
          <w:kern w:val="1"/>
        </w:rPr>
        <w:t xml:space="preserve">Gesunde Büroarbeitsplätze: </w:t>
      </w:r>
    </w:p>
    <w:p w:rsidR="001A052A" w:rsidRPr="001A052A" w:rsidRDefault="001A052A" w:rsidP="001A052A">
      <w:pPr>
        <w:widowControl w:val="0"/>
        <w:autoSpaceDE w:val="0"/>
        <w:autoSpaceDN w:val="0"/>
        <w:adjustRightInd w:val="0"/>
        <w:spacing w:line="360" w:lineRule="auto"/>
        <w:ind w:right="50"/>
        <w:jc w:val="both"/>
        <w:rPr>
          <w:rFonts w:ascii="Calibri" w:hAnsi="Calibri" w:cs="TheSans 7-Bold"/>
          <w:b/>
          <w:bCs/>
          <w:kern w:val="1"/>
        </w:rPr>
      </w:pPr>
      <w:r w:rsidRPr="001A052A">
        <w:rPr>
          <w:rFonts w:ascii="Calibri" w:hAnsi="Calibri" w:cs="TheSans 7-Bold"/>
          <w:b/>
          <w:bCs/>
          <w:kern w:val="1"/>
        </w:rPr>
        <w:t xml:space="preserve">Bewegungsfördernd und AGR-zertifiziert </w:t>
      </w:r>
    </w:p>
    <w:p w:rsidR="001A052A" w:rsidRPr="001A052A" w:rsidRDefault="001A052A" w:rsidP="001A052A">
      <w:pPr>
        <w:widowControl w:val="0"/>
        <w:autoSpaceDE w:val="0"/>
        <w:autoSpaceDN w:val="0"/>
        <w:adjustRightInd w:val="0"/>
        <w:spacing w:line="360" w:lineRule="auto"/>
        <w:ind w:right="50"/>
        <w:jc w:val="both"/>
        <w:rPr>
          <w:rFonts w:ascii="Calibri" w:hAnsi="Calibri" w:cs="TheSans 3-Light"/>
          <w:kern w:val="1"/>
        </w:rPr>
      </w:pPr>
      <w:r w:rsidRPr="001A052A">
        <w:rPr>
          <w:rFonts w:ascii="Calibri" w:hAnsi="Calibri" w:cs="TheSans 3-Light"/>
          <w:kern w:val="1"/>
        </w:rPr>
        <w:t>Das Büro muss zu einem Ort des Wohlbefindens werden. Dazu gehört neben viel Tageslicht, guter Akustik und frischer Luft ein Angebot an variabler Raumgestaltung. Ein gesunder Mix aus gemeinsam und einzeln genutzten Räumen bietet Mitarbeitern die Möglichkeit für aufgabenangepasste sowie bedarfsgerechte innere und äußere Haltungswechsel, wie beispielsweise:</w:t>
      </w:r>
    </w:p>
    <w:p w:rsidR="001A052A" w:rsidRPr="001A052A" w:rsidRDefault="001A052A" w:rsidP="001A052A">
      <w:pPr>
        <w:widowControl w:val="0"/>
        <w:autoSpaceDE w:val="0"/>
        <w:autoSpaceDN w:val="0"/>
        <w:adjustRightInd w:val="0"/>
        <w:spacing w:line="360" w:lineRule="auto"/>
        <w:ind w:right="50"/>
        <w:jc w:val="both"/>
        <w:rPr>
          <w:rFonts w:ascii="Calibri" w:hAnsi="Calibri" w:cs="TheSans 3-Light"/>
          <w:kern w:val="1"/>
        </w:rPr>
      </w:pPr>
    </w:p>
    <w:p w:rsidR="001A052A" w:rsidRPr="001A052A" w:rsidRDefault="001A052A" w:rsidP="001A052A">
      <w:pPr>
        <w:pStyle w:val="Listenabsatz"/>
        <w:widowControl w:val="0"/>
        <w:numPr>
          <w:ilvl w:val="0"/>
          <w:numId w:val="1"/>
        </w:numPr>
        <w:autoSpaceDE w:val="0"/>
        <w:autoSpaceDN w:val="0"/>
        <w:adjustRightInd w:val="0"/>
        <w:spacing w:line="360" w:lineRule="auto"/>
        <w:ind w:right="50"/>
        <w:jc w:val="both"/>
        <w:rPr>
          <w:rFonts w:ascii="Calibri" w:hAnsi="Calibri" w:cs="TheSans 3-Light"/>
          <w:kern w:val="1"/>
        </w:rPr>
      </w:pPr>
      <w:r w:rsidRPr="001A052A">
        <w:rPr>
          <w:rFonts w:ascii="Calibri" w:hAnsi="Calibri" w:cs="TheSans 3-Light"/>
          <w:kern w:val="1"/>
        </w:rPr>
        <w:t>offene, gemeinschaftlich genutzte Flächen (Cafeteria; Bereiche für informelle Gespräche, kleine Teamsitzungen)</w:t>
      </w:r>
    </w:p>
    <w:p w:rsidR="001A052A" w:rsidRPr="001A052A" w:rsidRDefault="001A052A" w:rsidP="001A052A">
      <w:pPr>
        <w:pStyle w:val="Listenabsatz"/>
        <w:widowControl w:val="0"/>
        <w:numPr>
          <w:ilvl w:val="0"/>
          <w:numId w:val="1"/>
        </w:numPr>
        <w:autoSpaceDE w:val="0"/>
        <w:autoSpaceDN w:val="0"/>
        <w:adjustRightInd w:val="0"/>
        <w:spacing w:line="360" w:lineRule="auto"/>
        <w:ind w:right="50"/>
        <w:jc w:val="both"/>
        <w:rPr>
          <w:rFonts w:ascii="Calibri" w:hAnsi="Calibri" w:cs="TheSans 3-Light"/>
          <w:kern w:val="1"/>
        </w:rPr>
      </w:pPr>
      <w:r w:rsidRPr="001A052A">
        <w:rPr>
          <w:rFonts w:ascii="Calibri" w:hAnsi="Calibri" w:cs="TheSans 3-Light"/>
          <w:kern w:val="1"/>
        </w:rPr>
        <w:t>Rückzugsbereiche für vertrauliche Gespräche, zur Entspannung</w:t>
      </w:r>
    </w:p>
    <w:p w:rsidR="001A052A" w:rsidRPr="001A052A" w:rsidRDefault="001A052A" w:rsidP="001A052A">
      <w:pPr>
        <w:pStyle w:val="Listenabsatz"/>
        <w:widowControl w:val="0"/>
        <w:numPr>
          <w:ilvl w:val="0"/>
          <w:numId w:val="1"/>
        </w:numPr>
        <w:autoSpaceDE w:val="0"/>
        <w:autoSpaceDN w:val="0"/>
        <w:adjustRightInd w:val="0"/>
        <w:spacing w:line="360" w:lineRule="auto"/>
        <w:ind w:right="50"/>
        <w:jc w:val="both"/>
        <w:rPr>
          <w:rFonts w:ascii="Calibri" w:hAnsi="Calibri" w:cs="TheSans 3-Light"/>
          <w:kern w:val="1"/>
        </w:rPr>
      </w:pPr>
      <w:r w:rsidRPr="001A052A">
        <w:rPr>
          <w:rFonts w:ascii="Calibri" w:hAnsi="Calibri" w:cs="TheSans 3-Light"/>
          <w:kern w:val="1"/>
        </w:rPr>
        <w:t>Besprechungsräume für Teamsitzungen oder Präsentationen</w:t>
      </w:r>
    </w:p>
    <w:p w:rsidR="001A052A" w:rsidRPr="001A052A" w:rsidRDefault="001A052A" w:rsidP="001A052A">
      <w:pPr>
        <w:pStyle w:val="Listenabsatz"/>
        <w:widowControl w:val="0"/>
        <w:numPr>
          <w:ilvl w:val="0"/>
          <w:numId w:val="1"/>
        </w:numPr>
        <w:autoSpaceDE w:val="0"/>
        <w:autoSpaceDN w:val="0"/>
        <w:adjustRightInd w:val="0"/>
        <w:spacing w:line="360" w:lineRule="auto"/>
        <w:ind w:right="50"/>
        <w:jc w:val="both"/>
        <w:rPr>
          <w:rFonts w:ascii="Calibri" w:hAnsi="Calibri" w:cs="TheSans 3-Light"/>
          <w:kern w:val="1"/>
        </w:rPr>
      </w:pPr>
      <w:r w:rsidRPr="001A052A">
        <w:rPr>
          <w:rFonts w:ascii="Calibri" w:hAnsi="Calibri" w:cs="TheSans 3-Light"/>
          <w:kern w:val="1"/>
        </w:rPr>
        <w:t>Einzelbüros für konzentriertes Arbeiten</w:t>
      </w:r>
    </w:p>
    <w:p w:rsidR="001A052A" w:rsidRPr="001A052A" w:rsidRDefault="001A052A" w:rsidP="001A052A">
      <w:pPr>
        <w:pStyle w:val="Listenabsatz"/>
        <w:widowControl w:val="0"/>
        <w:numPr>
          <w:ilvl w:val="0"/>
          <w:numId w:val="1"/>
        </w:numPr>
        <w:autoSpaceDE w:val="0"/>
        <w:autoSpaceDN w:val="0"/>
        <w:adjustRightInd w:val="0"/>
        <w:spacing w:line="360" w:lineRule="auto"/>
        <w:ind w:right="50"/>
        <w:jc w:val="both"/>
        <w:rPr>
          <w:rFonts w:ascii="Calibri" w:hAnsi="Calibri" w:cs="TheSans 3-Light"/>
          <w:kern w:val="1"/>
        </w:rPr>
      </w:pPr>
      <w:r w:rsidRPr="001A052A">
        <w:rPr>
          <w:rFonts w:ascii="Calibri" w:hAnsi="Calibri" w:cs="TheSans 3-Light"/>
          <w:kern w:val="1"/>
        </w:rPr>
        <w:t>wenn gegeben, Außenbereiche (Garten, Balkon, Park) für den informellen Austausch oder Kleingruppengespräche – „</w:t>
      </w:r>
      <w:proofErr w:type="spellStart"/>
      <w:r w:rsidRPr="001A052A">
        <w:rPr>
          <w:rFonts w:ascii="Calibri" w:hAnsi="Calibri" w:cs="TheSans 3-Light"/>
          <w:kern w:val="1"/>
        </w:rPr>
        <w:t>Walk</w:t>
      </w:r>
      <w:proofErr w:type="spellEnd"/>
      <w:r w:rsidRPr="001A052A">
        <w:rPr>
          <w:rFonts w:ascii="Calibri" w:hAnsi="Calibri" w:cs="TheSans 3-Light"/>
          <w:kern w:val="1"/>
        </w:rPr>
        <w:t xml:space="preserve"> </w:t>
      </w:r>
      <w:proofErr w:type="spellStart"/>
      <w:r w:rsidRPr="001A052A">
        <w:rPr>
          <w:rFonts w:ascii="Calibri" w:hAnsi="Calibri" w:cs="TheSans 3-Light"/>
          <w:kern w:val="1"/>
        </w:rPr>
        <w:t>and</w:t>
      </w:r>
      <w:proofErr w:type="spellEnd"/>
      <w:r w:rsidRPr="001A052A">
        <w:rPr>
          <w:rFonts w:ascii="Calibri" w:hAnsi="Calibri" w:cs="TheSans 3-Light"/>
          <w:kern w:val="1"/>
        </w:rPr>
        <w:t xml:space="preserve"> Talk“ </w:t>
      </w:r>
    </w:p>
    <w:p w:rsidR="001A052A" w:rsidRPr="001A052A" w:rsidRDefault="001A052A" w:rsidP="001A052A">
      <w:pPr>
        <w:widowControl w:val="0"/>
        <w:autoSpaceDE w:val="0"/>
        <w:autoSpaceDN w:val="0"/>
        <w:adjustRightInd w:val="0"/>
        <w:spacing w:line="360" w:lineRule="auto"/>
        <w:ind w:right="50"/>
        <w:jc w:val="both"/>
        <w:rPr>
          <w:rFonts w:ascii="Calibri" w:hAnsi="Calibri" w:cs="TheSans 3-Light"/>
          <w:kern w:val="1"/>
        </w:rPr>
      </w:pPr>
    </w:p>
    <w:p w:rsidR="001A052A" w:rsidRPr="001A052A" w:rsidRDefault="001A052A" w:rsidP="001A052A">
      <w:pPr>
        <w:widowControl w:val="0"/>
        <w:autoSpaceDE w:val="0"/>
        <w:autoSpaceDN w:val="0"/>
        <w:adjustRightInd w:val="0"/>
        <w:spacing w:line="360" w:lineRule="auto"/>
        <w:ind w:right="50"/>
        <w:jc w:val="both"/>
        <w:rPr>
          <w:rFonts w:ascii="Calibri" w:hAnsi="Calibri" w:cs="TheSans 3-Light"/>
          <w:kern w:val="1"/>
        </w:rPr>
      </w:pPr>
      <w:r w:rsidRPr="001A052A">
        <w:rPr>
          <w:rFonts w:ascii="Calibri" w:hAnsi="Calibri" w:cs="TheSans 3-Light"/>
          <w:kern w:val="1"/>
        </w:rPr>
        <w:t xml:space="preserve">Daran anknüpfend richten sich die Erfordernisse an eine ergonomische, AGR zertifizierte </w:t>
      </w:r>
      <w:proofErr w:type="spellStart"/>
      <w:r w:rsidRPr="001A052A">
        <w:rPr>
          <w:rFonts w:ascii="Calibri" w:hAnsi="Calibri" w:cs="TheSans 3-Light"/>
          <w:kern w:val="1"/>
        </w:rPr>
        <w:t>mobiliare</w:t>
      </w:r>
      <w:proofErr w:type="spellEnd"/>
      <w:r w:rsidRPr="001A052A">
        <w:rPr>
          <w:rFonts w:ascii="Calibri" w:hAnsi="Calibri" w:cs="TheSans 3-Light"/>
          <w:kern w:val="1"/>
        </w:rPr>
        <w:t xml:space="preserve"> Ausstattung zur Unterstützung von individuell bevorzugten physiologischen Arbeitshaltungen. Hierzu gehören u. a.:</w:t>
      </w:r>
    </w:p>
    <w:p w:rsidR="001A052A" w:rsidRPr="001A052A" w:rsidRDefault="001A052A" w:rsidP="001A052A">
      <w:pPr>
        <w:widowControl w:val="0"/>
        <w:autoSpaceDE w:val="0"/>
        <w:autoSpaceDN w:val="0"/>
        <w:adjustRightInd w:val="0"/>
        <w:spacing w:line="360" w:lineRule="auto"/>
        <w:ind w:right="50"/>
        <w:jc w:val="both"/>
        <w:rPr>
          <w:rFonts w:ascii="Calibri" w:hAnsi="Calibri" w:cs="TheSans 3-Light"/>
          <w:kern w:val="1"/>
        </w:rPr>
      </w:pPr>
    </w:p>
    <w:p w:rsidR="001A052A" w:rsidRPr="001A052A" w:rsidRDefault="001A052A" w:rsidP="001A052A">
      <w:pPr>
        <w:widowControl w:val="0"/>
        <w:autoSpaceDE w:val="0"/>
        <w:autoSpaceDN w:val="0"/>
        <w:adjustRightInd w:val="0"/>
        <w:spacing w:line="360" w:lineRule="auto"/>
        <w:ind w:right="50"/>
        <w:jc w:val="both"/>
        <w:rPr>
          <w:rFonts w:ascii="Calibri" w:hAnsi="Calibri" w:cs="TheSans 7-Bold"/>
          <w:b/>
          <w:bCs/>
          <w:kern w:val="1"/>
        </w:rPr>
      </w:pPr>
      <w:r w:rsidRPr="001A052A">
        <w:rPr>
          <w:rFonts w:ascii="Calibri" w:hAnsi="Calibri" w:cs="TheSans 7-Bold"/>
          <w:b/>
          <w:bCs/>
          <w:kern w:val="1"/>
        </w:rPr>
        <w:t>Sitzmobiliar</w:t>
      </w:r>
    </w:p>
    <w:p w:rsidR="001A052A" w:rsidRPr="001A052A" w:rsidRDefault="001A052A" w:rsidP="001A052A">
      <w:pPr>
        <w:pStyle w:val="Listenabsatz"/>
        <w:widowControl w:val="0"/>
        <w:numPr>
          <w:ilvl w:val="0"/>
          <w:numId w:val="2"/>
        </w:numPr>
        <w:autoSpaceDE w:val="0"/>
        <w:autoSpaceDN w:val="0"/>
        <w:adjustRightInd w:val="0"/>
        <w:spacing w:line="360" w:lineRule="auto"/>
        <w:ind w:right="50"/>
        <w:jc w:val="both"/>
        <w:rPr>
          <w:rFonts w:ascii="Calibri" w:hAnsi="Calibri" w:cs="TheSans 3-Light"/>
          <w:kern w:val="1"/>
        </w:rPr>
      </w:pPr>
      <w:r w:rsidRPr="001A052A">
        <w:rPr>
          <w:rFonts w:ascii="Calibri" w:hAnsi="Calibri" w:cs="TheSans 3-Light"/>
          <w:kern w:val="1"/>
        </w:rPr>
        <w:t>Bürostühle mit Synchronmechanik und Sitzneigefunktion</w:t>
      </w:r>
    </w:p>
    <w:p w:rsidR="001A052A" w:rsidRPr="001A052A" w:rsidRDefault="001A052A" w:rsidP="001A052A">
      <w:pPr>
        <w:pStyle w:val="Listenabsatz"/>
        <w:widowControl w:val="0"/>
        <w:numPr>
          <w:ilvl w:val="0"/>
          <w:numId w:val="2"/>
        </w:numPr>
        <w:autoSpaceDE w:val="0"/>
        <w:autoSpaceDN w:val="0"/>
        <w:adjustRightInd w:val="0"/>
        <w:spacing w:line="360" w:lineRule="auto"/>
        <w:ind w:right="50"/>
        <w:jc w:val="both"/>
        <w:rPr>
          <w:rFonts w:ascii="Calibri" w:hAnsi="Calibri" w:cs="TheSans 3-Light"/>
          <w:kern w:val="1"/>
        </w:rPr>
      </w:pPr>
      <w:r w:rsidRPr="001A052A">
        <w:rPr>
          <w:rFonts w:ascii="Calibri" w:hAnsi="Calibri" w:cs="TheSans 3-Light"/>
          <w:kern w:val="1"/>
        </w:rPr>
        <w:t xml:space="preserve">Aktiv-Bürostühle sowie Aktivsitzmöbel mit sich mehrdimensional bewegender Sitzfläche zur Unterstützung eines lebendiges Sitzens </w:t>
      </w:r>
    </w:p>
    <w:p w:rsidR="001A052A" w:rsidRPr="001A052A" w:rsidRDefault="001A052A" w:rsidP="001A052A">
      <w:pPr>
        <w:pStyle w:val="Listenabsatz"/>
        <w:widowControl w:val="0"/>
        <w:numPr>
          <w:ilvl w:val="0"/>
          <w:numId w:val="2"/>
        </w:numPr>
        <w:autoSpaceDE w:val="0"/>
        <w:autoSpaceDN w:val="0"/>
        <w:adjustRightInd w:val="0"/>
        <w:spacing w:line="360" w:lineRule="auto"/>
        <w:ind w:right="50"/>
        <w:jc w:val="both"/>
        <w:rPr>
          <w:rFonts w:ascii="Calibri" w:hAnsi="Calibri" w:cs="TheSans 3-Light"/>
          <w:kern w:val="1"/>
        </w:rPr>
      </w:pPr>
      <w:r w:rsidRPr="001A052A">
        <w:rPr>
          <w:rFonts w:ascii="Calibri" w:hAnsi="Calibri" w:cs="TheSans 3-Light"/>
          <w:kern w:val="1"/>
        </w:rPr>
        <w:t>Konferenzstühle mit flexibler Sitzfläche</w:t>
      </w:r>
    </w:p>
    <w:p w:rsidR="001A052A" w:rsidRPr="001A052A" w:rsidRDefault="001A052A" w:rsidP="001A052A">
      <w:pPr>
        <w:pStyle w:val="Listenabsatz"/>
        <w:widowControl w:val="0"/>
        <w:numPr>
          <w:ilvl w:val="0"/>
          <w:numId w:val="2"/>
        </w:numPr>
        <w:autoSpaceDE w:val="0"/>
        <w:autoSpaceDN w:val="0"/>
        <w:adjustRightInd w:val="0"/>
        <w:spacing w:line="360" w:lineRule="auto"/>
        <w:ind w:right="50"/>
        <w:jc w:val="both"/>
        <w:rPr>
          <w:rFonts w:ascii="Calibri" w:hAnsi="Calibri" w:cs="TheSans 3-Light"/>
          <w:kern w:val="1"/>
        </w:rPr>
      </w:pPr>
      <w:r w:rsidRPr="001A052A">
        <w:rPr>
          <w:rFonts w:ascii="Calibri" w:hAnsi="Calibri" w:cs="TheSans 3-Light"/>
          <w:kern w:val="1"/>
        </w:rPr>
        <w:t>Sitz-Stehhilfen, Hochstühle mit mehrdimensional beweglicher Sitzfläche und Fußring für Besprechungsräume oder Steharbeitsplätze</w:t>
      </w:r>
    </w:p>
    <w:p w:rsidR="001A052A" w:rsidRPr="001A052A" w:rsidRDefault="001A052A" w:rsidP="001A052A">
      <w:pPr>
        <w:pStyle w:val="Listenabsatz"/>
        <w:widowControl w:val="0"/>
        <w:numPr>
          <w:ilvl w:val="0"/>
          <w:numId w:val="2"/>
        </w:numPr>
        <w:autoSpaceDE w:val="0"/>
        <w:autoSpaceDN w:val="0"/>
        <w:adjustRightInd w:val="0"/>
        <w:spacing w:line="360" w:lineRule="auto"/>
        <w:ind w:right="50"/>
        <w:jc w:val="both"/>
        <w:rPr>
          <w:rFonts w:ascii="Calibri" w:hAnsi="Calibri" w:cs="TheSans 3-Light"/>
          <w:kern w:val="1"/>
        </w:rPr>
      </w:pPr>
      <w:r w:rsidRPr="001A052A">
        <w:rPr>
          <w:rFonts w:ascii="Calibri" w:hAnsi="Calibri" w:cs="TheSans 3-Light"/>
          <w:kern w:val="1"/>
        </w:rPr>
        <w:t>Lounge Möbel mit akustischer Dämmung als Orte des Rückzugs, der Entspannung o</w:t>
      </w:r>
      <w:r w:rsidRPr="001A052A">
        <w:rPr>
          <w:rFonts w:ascii="Calibri" w:hAnsi="Calibri" w:cs="TheSans 3-Light"/>
          <w:kern w:val="1"/>
        </w:rPr>
        <w:t>der geschützter Privatgespräche</w:t>
      </w:r>
    </w:p>
    <w:p w:rsidR="001A052A" w:rsidRPr="001A052A" w:rsidRDefault="001A052A" w:rsidP="001A052A">
      <w:pPr>
        <w:widowControl w:val="0"/>
        <w:autoSpaceDE w:val="0"/>
        <w:autoSpaceDN w:val="0"/>
        <w:adjustRightInd w:val="0"/>
        <w:spacing w:line="360" w:lineRule="auto"/>
        <w:ind w:right="50"/>
        <w:jc w:val="both"/>
        <w:rPr>
          <w:rFonts w:ascii="Calibri" w:hAnsi="Calibri" w:cs="TheSans 7-Bold"/>
          <w:b/>
          <w:bCs/>
          <w:kern w:val="1"/>
        </w:rPr>
      </w:pPr>
    </w:p>
    <w:p w:rsidR="001A052A" w:rsidRPr="001A052A" w:rsidRDefault="001A052A" w:rsidP="001A052A">
      <w:pPr>
        <w:widowControl w:val="0"/>
        <w:autoSpaceDE w:val="0"/>
        <w:autoSpaceDN w:val="0"/>
        <w:adjustRightInd w:val="0"/>
        <w:spacing w:line="360" w:lineRule="auto"/>
        <w:ind w:right="50"/>
        <w:jc w:val="both"/>
        <w:rPr>
          <w:rFonts w:ascii="Calibri" w:hAnsi="Calibri" w:cs="TheSans 3-Light"/>
          <w:kern w:val="1"/>
        </w:rPr>
      </w:pPr>
      <w:r w:rsidRPr="001A052A">
        <w:rPr>
          <w:rFonts w:ascii="Calibri" w:hAnsi="Calibri" w:cs="TheSans 7-Bold"/>
          <w:b/>
          <w:bCs/>
          <w:kern w:val="1"/>
        </w:rPr>
        <w:t>Stehmobiliar</w:t>
      </w:r>
    </w:p>
    <w:p w:rsidR="001A052A" w:rsidRPr="001A052A" w:rsidRDefault="001A052A" w:rsidP="001A052A">
      <w:pPr>
        <w:widowControl w:val="0"/>
        <w:autoSpaceDE w:val="0"/>
        <w:autoSpaceDN w:val="0"/>
        <w:adjustRightInd w:val="0"/>
        <w:spacing w:line="360" w:lineRule="auto"/>
        <w:ind w:right="50"/>
        <w:jc w:val="both"/>
        <w:rPr>
          <w:rFonts w:ascii="Calibri" w:hAnsi="Calibri" w:cs="TheSans 3-Light"/>
          <w:kern w:val="1"/>
        </w:rPr>
      </w:pPr>
      <w:r w:rsidRPr="001A052A">
        <w:rPr>
          <w:rFonts w:ascii="Calibri" w:hAnsi="Calibri" w:cs="TheSans 3-Light"/>
          <w:kern w:val="1"/>
        </w:rPr>
        <w:t>Sitz-/Stehpulte für physiologische Positionswechsel am Einzelarbeitsplatz und in Besprechungsräumen. Ergänzend hierzu Sitz-Stehhilfen, Stehmatten für ermüdungsfreieres, dynamisches Stehen.</w:t>
      </w:r>
    </w:p>
    <w:p w:rsidR="001A052A" w:rsidRPr="001A052A" w:rsidRDefault="001A052A" w:rsidP="001A052A">
      <w:pPr>
        <w:widowControl w:val="0"/>
        <w:autoSpaceDE w:val="0"/>
        <w:autoSpaceDN w:val="0"/>
        <w:adjustRightInd w:val="0"/>
        <w:spacing w:line="360" w:lineRule="auto"/>
        <w:ind w:right="50"/>
        <w:jc w:val="both"/>
        <w:rPr>
          <w:rFonts w:ascii="Calibri" w:hAnsi="Calibri" w:cs="TheSans 3-Light"/>
          <w:kern w:val="1"/>
        </w:rPr>
      </w:pPr>
    </w:p>
    <w:p w:rsidR="001A052A" w:rsidRPr="001A052A" w:rsidRDefault="001A052A" w:rsidP="001A052A">
      <w:pPr>
        <w:widowControl w:val="0"/>
        <w:autoSpaceDE w:val="0"/>
        <w:autoSpaceDN w:val="0"/>
        <w:adjustRightInd w:val="0"/>
        <w:spacing w:line="360" w:lineRule="auto"/>
        <w:ind w:right="50"/>
        <w:jc w:val="both"/>
        <w:rPr>
          <w:rFonts w:ascii="Calibri" w:hAnsi="Calibri" w:cs="TheSans 3-Light"/>
          <w:kern w:val="1"/>
        </w:rPr>
      </w:pPr>
      <w:r w:rsidRPr="001A052A">
        <w:rPr>
          <w:rFonts w:ascii="Calibri" w:hAnsi="Calibri" w:cs="TheSans 3-Light"/>
          <w:kern w:val="1"/>
        </w:rPr>
        <w:t>Variabel einsetzbare Stehtische für temporäre und flexible Nutzung mit feststehender Höhe (ca. 105 cm-110 cm), feststellbaren Rollen und formangepasster Fußstütze. Sie weisen ein Ausmaß auf, dass sie durch jede Tür bewegt werden können, so dass sie flexibel an verschiedenen Orten und in verschiedene Situationen zur Anwendung kommen:</w:t>
      </w:r>
    </w:p>
    <w:p w:rsidR="001A052A" w:rsidRPr="001A052A" w:rsidRDefault="001A052A" w:rsidP="001A052A">
      <w:pPr>
        <w:widowControl w:val="0"/>
        <w:autoSpaceDE w:val="0"/>
        <w:autoSpaceDN w:val="0"/>
        <w:adjustRightInd w:val="0"/>
        <w:spacing w:line="360" w:lineRule="auto"/>
        <w:ind w:right="50"/>
        <w:jc w:val="both"/>
        <w:rPr>
          <w:rFonts w:ascii="Calibri" w:hAnsi="Calibri" w:cs="TheSans 3-Light"/>
          <w:kern w:val="1"/>
        </w:rPr>
      </w:pPr>
    </w:p>
    <w:p w:rsidR="001A052A" w:rsidRPr="001A052A" w:rsidRDefault="001A052A" w:rsidP="001A052A">
      <w:pPr>
        <w:pStyle w:val="Listenabsatz"/>
        <w:widowControl w:val="0"/>
        <w:numPr>
          <w:ilvl w:val="0"/>
          <w:numId w:val="3"/>
        </w:numPr>
        <w:autoSpaceDE w:val="0"/>
        <w:autoSpaceDN w:val="0"/>
        <w:adjustRightInd w:val="0"/>
        <w:spacing w:line="360" w:lineRule="auto"/>
        <w:ind w:right="50"/>
        <w:jc w:val="both"/>
        <w:rPr>
          <w:rFonts w:ascii="Calibri" w:hAnsi="Calibri" w:cs="TheSans 3-Light"/>
          <w:kern w:val="1"/>
        </w:rPr>
      </w:pPr>
      <w:r w:rsidRPr="001A052A">
        <w:rPr>
          <w:rFonts w:ascii="Calibri" w:hAnsi="Calibri" w:cs="TheSans 3-Light"/>
          <w:kern w:val="1"/>
        </w:rPr>
        <w:t xml:space="preserve">spontane Kleingruppengespräche in offenen Bereichen, temporäre Nutzung an unterschiedlichen Orten </w:t>
      </w:r>
    </w:p>
    <w:p w:rsidR="001A052A" w:rsidRPr="001A052A" w:rsidRDefault="001A052A" w:rsidP="001A052A">
      <w:pPr>
        <w:pStyle w:val="Listenabsatz"/>
        <w:widowControl w:val="0"/>
        <w:numPr>
          <w:ilvl w:val="0"/>
          <w:numId w:val="3"/>
        </w:numPr>
        <w:autoSpaceDE w:val="0"/>
        <w:autoSpaceDN w:val="0"/>
        <w:adjustRightInd w:val="0"/>
        <w:spacing w:line="360" w:lineRule="auto"/>
        <w:ind w:right="50"/>
        <w:jc w:val="both"/>
        <w:rPr>
          <w:rFonts w:ascii="Calibri" w:hAnsi="Calibri" w:cs="TheSans 3-Light"/>
          <w:kern w:val="1"/>
        </w:rPr>
      </w:pPr>
      <w:r w:rsidRPr="001A052A">
        <w:rPr>
          <w:rFonts w:ascii="Calibri" w:hAnsi="Calibri" w:cs="TheSans 3-Light"/>
          <w:spacing w:val="7"/>
          <w:kern w:val="1"/>
        </w:rPr>
        <w:t>Tagungs-/Besprechungsräume:</w:t>
      </w:r>
      <w:r w:rsidRPr="001A052A">
        <w:rPr>
          <w:rFonts w:ascii="Calibri" w:hAnsi="Calibri" w:cs="TheSans 3-Light"/>
          <w:spacing w:val="4"/>
          <w:kern w:val="1"/>
        </w:rPr>
        <w:t xml:space="preserve"> Hier </w:t>
      </w:r>
      <w:r w:rsidRPr="001A052A">
        <w:rPr>
          <w:rFonts w:ascii="Calibri" w:hAnsi="Calibri" w:cs="TheSans 3-Light"/>
          <w:kern w:val="1"/>
        </w:rPr>
        <w:t xml:space="preserve">können mehrere einzelne Tischelemente entsprechend der Gruppenstärke beliebig kombiniert werden (Kleingruppe/Großgruppe). Hochstühle mit Fußring auf Rollen und mit mehrdimensional beweglicher Sitzfläche/ alternativ Sitz-Stehhilfen helfen bei Ermüdung. Mobile Stellwände (magnethaftend, pinnfähig, beschreibbar) für Raumaufteilung. Vorteil dieser </w:t>
      </w:r>
      <w:proofErr w:type="spellStart"/>
      <w:r w:rsidRPr="001A052A">
        <w:rPr>
          <w:rFonts w:ascii="Calibri" w:hAnsi="Calibri" w:cs="TheSans 3-Light"/>
          <w:kern w:val="1"/>
        </w:rPr>
        <w:t>mobiliaren</w:t>
      </w:r>
      <w:proofErr w:type="spellEnd"/>
      <w:r w:rsidRPr="001A052A">
        <w:rPr>
          <w:rFonts w:ascii="Calibri" w:hAnsi="Calibri" w:cs="TheSans 3-Light"/>
          <w:kern w:val="1"/>
        </w:rPr>
        <w:t xml:space="preserve"> Zusammenstellung: hohe Variabilität sich spontan ergebender Positionswechsel, alle Teilnehmer befi</w:t>
      </w:r>
      <w:r w:rsidRPr="001A052A">
        <w:rPr>
          <w:rFonts w:ascii="Calibri" w:hAnsi="Calibri" w:cs="TheSans 3-Light"/>
          <w:kern w:val="1"/>
        </w:rPr>
        <w:t>nden sich immer auf „Augenhöhe“.</w:t>
      </w:r>
    </w:p>
    <w:p w:rsidR="001A052A" w:rsidRPr="001A052A" w:rsidRDefault="001A052A" w:rsidP="001A052A">
      <w:pPr>
        <w:pStyle w:val="Listenabsatz"/>
        <w:widowControl w:val="0"/>
        <w:numPr>
          <w:ilvl w:val="0"/>
          <w:numId w:val="3"/>
        </w:numPr>
        <w:autoSpaceDE w:val="0"/>
        <w:autoSpaceDN w:val="0"/>
        <w:adjustRightInd w:val="0"/>
        <w:spacing w:line="360" w:lineRule="auto"/>
        <w:ind w:right="50"/>
        <w:jc w:val="both"/>
        <w:rPr>
          <w:rFonts w:ascii="Calibri" w:hAnsi="Calibri" w:cs="TheSans 3-Light"/>
          <w:kern w:val="1"/>
        </w:rPr>
      </w:pPr>
      <w:r w:rsidRPr="001A052A">
        <w:rPr>
          <w:rFonts w:ascii="Calibri" w:hAnsi="Calibri" w:cs="TheSans 3-Light"/>
          <w:kern w:val="1"/>
        </w:rPr>
        <w:t>Stehelemente als feste „Inseln“ in zentralen Bereichen für informelles Zusammenkomm</w:t>
      </w:r>
      <w:r w:rsidRPr="001A052A">
        <w:rPr>
          <w:rFonts w:ascii="Calibri" w:hAnsi="Calibri" w:cs="TheSans 3-Light"/>
          <w:kern w:val="1"/>
        </w:rPr>
        <w:t>en (offene Bereiche, Cafeteria).</w:t>
      </w:r>
    </w:p>
    <w:p w:rsidR="001A052A" w:rsidRPr="001A052A" w:rsidRDefault="001A052A" w:rsidP="001A052A">
      <w:pPr>
        <w:widowControl w:val="0"/>
        <w:autoSpaceDE w:val="0"/>
        <w:autoSpaceDN w:val="0"/>
        <w:adjustRightInd w:val="0"/>
        <w:spacing w:line="360" w:lineRule="auto"/>
        <w:ind w:right="50"/>
        <w:jc w:val="both"/>
        <w:rPr>
          <w:rFonts w:ascii="Calibri" w:hAnsi="Calibri" w:cs="TheSans 3-Light"/>
          <w:kern w:val="1"/>
        </w:rPr>
      </w:pPr>
    </w:p>
    <w:p w:rsidR="001A052A" w:rsidRPr="001A052A" w:rsidRDefault="001A052A" w:rsidP="001A052A">
      <w:pPr>
        <w:widowControl w:val="0"/>
        <w:autoSpaceDE w:val="0"/>
        <w:autoSpaceDN w:val="0"/>
        <w:adjustRightInd w:val="0"/>
        <w:spacing w:line="360" w:lineRule="auto"/>
        <w:ind w:right="50"/>
        <w:jc w:val="both"/>
        <w:rPr>
          <w:rFonts w:ascii="Calibri" w:hAnsi="Calibri" w:cs="TheSans 3-Light"/>
          <w:kern w:val="1"/>
        </w:rPr>
      </w:pPr>
      <w:r w:rsidRPr="001A052A">
        <w:rPr>
          <w:rFonts w:ascii="Calibri" w:hAnsi="Calibri" w:cs="TheSans 3-Light"/>
          <w:kern w:val="1"/>
        </w:rPr>
        <w:t>Darüber sollte das Büro idealerweise über einen Raum der Stille (regenerierender -„</w:t>
      </w:r>
      <w:proofErr w:type="spellStart"/>
      <w:r w:rsidRPr="001A052A">
        <w:rPr>
          <w:rFonts w:ascii="Calibri" w:hAnsi="Calibri" w:cs="TheSans 3-Light"/>
          <w:kern w:val="1"/>
        </w:rPr>
        <w:t>Powernap</w:t>
      </w:r>
      <w:proofErr w:type="spellEnd"/>
      <w:r w:rsidRPr="001A052A">
        <w:rPr>
          <w:rFonts w:ascii="Calibri" w:hAnsi="Calibri" w:cs="TheSans 3-Light"/>
          <w:kern w:val="1"/>
        </w:rPr>
        <w:t>“) und Räume für körperliche Aktivität oder entspannende Spiele verfügen. Diese definierten Räume geben Sicherheit, dass ein solcher Bedarf soziale Anerkennung genießt.</w:t>
      </w:r>
    </w:p>
    <w:p w:rsidR="001A052A" w:rsidRPr="001A052A" w:rsidRDefault="001A052A" w:rsidP="001A052A">
      <w:pPr>
        <w:widowControl w:val="0"/>
        <w:autoSpaceDE w:val="0"/>
        <w:autoSpaceDN w:val="0"/>
        <w:adjustRightInd w:val="0"/>
        <w:spacing w:line="360" w:lineRule="auto"/>
        <w:ind w:right="50"/>
        <w:jc w:val="both"/>
        <w:rPr>
          <w:rFonts w:ascii="Calibri" w:hAnsi="Calibri" w:cs="TheSans 7-Bold"/>
          <w:b/>
          <w:bCs/>
          <w:kern w:val="1"/>
        </w:rPr>
      </w:pPr>
    </w:p>
    <w:p w:rsidR="001A052A" w:rsidRPr="001A052A" w:rsidRDefault="001A052A" w:rsidP="001A052A">
      <w:pPr>
        <w:widowControl w:val="0"/>
        <w:autoSpaceDE w:val="0"/>
        <w:autoSpaceDN w:val="0"/>
        <w:adjustRightInd w:val="0"/>
        <w:spacing w:line="360" w:lineRule="auto"/>
        <w:ind w:right="50"/>
        <w:jc w:val="both"/>
        <w:rPr>
          <w:rFonts w:ascii="Calibri" w:hAnsi="Calibri" w:cs="TheSans 7-Bold"/>
          <w:b/>
          <w:bCs/>
          <w:kern w:val="1"/>
        </w:rPr>
      </w:pPr>
      <w:r w:rsidRPr="001A052A">
        <w:rPr>
          <w:rFonts w:ascii="Calibri" w:hAnsi="Calibri" w:cs="TheSans 7-Bold"/>
          <w:b/>
          <w:bCs/>
          <w:kern w:val="1"/>
        </w:rPr>
        <w:t xml:space="preserve">Dr. Dieter </w:t>
      </w:r>
      <w:proofErr w:type="spellStart"/>
      <w:r w:rsidRPr="001A052A">
        <w:rPr>
          <w:rFonts w:ascii="Calibri" w:hAnsi="Calibri" w:cs="TheSans 7-Bold"/>
          <w:b/>
          <w:bCs/>
          <w:kern w:val="1"/>
        </w:rPr>
        <w:t>Breithecker</w:t>
      </w:r>
      <w:proofErr w:type="spellEnd"/>
    </w:p>
    <w:p w:rsidR="001A052A" w:rsidRPr="001A052A" w:rsidRDefault="001A052A" w:rsidP="001A052A">
      <w:pPr>
        <w:widowControl w:val="0"/>
        <w:autoSpaceDE w:val="0"/>
        <w:autoSpaceDN w:val="0"/>
        <w:adjustRightInd w:val="0"/>
        <w:spacing w:line="360" w:lineRule="auto"/>
        <w:ind w:right="50"/>
        <w:jc w:val="both"/>
        <w:rPr>
          <w:rFonts w:ascii="Calibri" w:hAnsi="Calibri" w:cs="TheSans 7-Bold"/>
          <w:b/>
          <w:bCs/>
          <w:kern w:val="1"/>
        </w:rPr>
      </w:pPr>
      <w:r w:rsidRPr="001A052A">
        <w:rPr>
          <w:rFonts w:ascii="Calibri" w:hAnsi="Calibri" w:cs="TheSans 7-Bold"/>
          <w:b/>
          <w:bCs/>
          <w:kern w:val="1"/>
        </w:rPr>
        <w:t>Bundesarbeitsgemeinschaft Haltungs- und Bewegungsförderung e. V.</w:t>
      </w:r>
      <w:r w:rsidRPr="001A052A">
        <w:rPr>
          <w:rFonts w:ascii="Calibri" w:hAnsi="Calibri" w:cs="TheSans 7-Bold"/>
          <w:b/>
          <w:bCs/>
          <w:kern w:val="1"/>
        </w:rPr>
        <w:t xml:space="preserve"> </w:t>
      </w:r>
      <w:r w:rsidRPr="001A052A">
        <w:rPr>
          <w:rFonts w:ascii="Calibri" w:hAnsi="Calibri" w:cs="TheSans 7-Bold"/>
          <w:b/>
          <w:bCs/>
          <w:kern w:val="1"/>
        </w:rPr>
        <w:t>Wiesbaden</w:t>
      </w:r>
    </w:p>
    <w:p w:rsidR="001A052A" w:rsidRPr="001A052A" w:rsidRDefault="001A052A" w:rsidP="001A052A">
      <w:pPr>
        <w:widowControl w:val="0"/>
        <w:autoSpaceDE w:val="0"/>
        <w:autoSpaceDN w:val="0"/>
        <w:adjustRightInd w:val="0"/>
        <w:spacing w:line="360" w:lineRule="auto"/>
        <w:ind w:right="50"/>
        <w:jc w:val="both"/>
        <w:rPr>
          <w:rFonts w:ascii="Calibri" w:hAnsi="Calibri" w:cs="TheSans 7-Bold"/>
          <w:b/>
          <w:bCs/>
          <w:kern w:val="1"/>
        </w:rPr>
      </w:pPr>
      <w:r w:rsidRPr="001A052A">
        <w:rPr>
          <w:rFonts w:ascii="Calibri" w:hAnsi="Calibri" w:cs="TheSans 7-Bold"/>
          <w:b/>
          <w:bCs/>
          <w:kern w:val="1"/>
        </w:rPr>
        <w:t>www.haltungbewegung.de</w:t>
      </w:r>
    </w:p>
    <w:p w:rsidR="001A052A" w:rsidRPr="001A052A" w:rsidRDefault="001A052A" w:rsidP="001A052A">
      <w:pPr>
        <w:widowControl w:val="0"/>
        <w:autoSpaceDE w:val="0"/>
        <w:autoSpaceDN w:val="0"/>
        <w:adjustRightInd w:val="0"/>
        <w:spacing w:line="360" w:lineRule="auto"/>
        <w:ind w:right="50"/>
        <w:jc w:val="both"/>
        <w:rPr>
          <w:rFonts w:ascii="Calibri" w:hAnsi="Calibri" w:cs="TheSans 3-Light"/>
          <w:kern w:val="1"/>
        </w:rPr>
      </w:pPr>
      <w:r w:rsidRPr="001A052A">
        <w:rPr>
          <w:rFonts w:ascii="Calibri" w:hAnsi="Calibri" w:cs="TheSans 7-Bold"/>
          <w:b/>
          <w:bCs/>
          <w:kern w:val="1"/>
        </w:rPr>
        <w:t>breithecker@haltungbewegung.de</w:t>
      </w:r>
    </w:p>
    <w:p w:rsidR="00DC2F35" w:rsidRPr="001A052A" w:rsidRDefault="00DC2F35" w:rsidP="001A052A">
      <w:pPr>
        <w:spacing w:line="360" w:lineRule="auto"/>
        <w:ind w:right="50"/>
        <w:jc w:val="both"/>
        <w:rPr>
          <w:rFonts w:ascii="Calibri" w:hAnsi="Calibri"/>
        </w:rPr>
      </w:pPr>
    </w:p>
    <w:p w:rsidR="001A052A" w:rsidRPr="001A052A" w:rsidRDefault="001A052A" w:rsidP="001A052A">
      <w:pPr>
        <w:spacing w:line="360" w:lineRule="auto"/>
        <w:ind w:right="50"/>
        <w:jc w:val="both"/>
        <w:rPr>
          <w:rFonts w:ascii="Calibri" w:hAnsi="Calibri"/>
        </w:rPr>
      </w:pPr>
    </w:p>
    <w:p w:rsidR="001A052A" w:rsidRPr="001A052A" w:rsidRDefault="001A052A" w:rsidP="001A052A">
      <w:pPr>
        <w:spacing w:line="360" w:lineRule="auto"/>
        <w:ind w:right="50"/>
        <w:jc w:val="both"/>
        <w:rPr>
          <w:rFonts w:ascii="Calibri" w:hAnsi="Calibri" w:cs="Helvetica"/>
        </w:rPr>
      </w:pPr>
      <w:r w:rsidRPr="001A052A">
        <w:rPr>
          <w:rFonts w:ascii="Calibri" w:hAnsi="Calibri" w:cs="Helvetica"/>
        </w:rPr>
        <w:t xml:space="preserve">Quellen: </w:t>
      </w:r>
    </w:p>
    <w:p w:rsidR="001A052A" w:rsidRPr="001A052A" w:rsidRDefault="001A052A" w:rsidP="001A052A">
      <w:pPr>
        <w:spacing w:line="360" w:lineRule="auto"/>
        <w:ind w:right="50"/>
        <w:jc w:val="both"/>
        <w:rPr>
          <w:rFonts w:ascii="Calibri" w:hAnsi="Calibri" w:cs="Helvetica"/>
        </w:rPr>
      </w:pPr>
      <w:r w:rsidRPr="001A052A">
        <w:rPr>
          <w:rFonts w:ascii="Calibri" w:hAnsi="Calibri" w:cs="Helvetica"/>
          <w:vertAlign w:val="superscript"/>
        </w:rPr>
        <w:t>1</w:t>
      </w:r>
      <w:r w:rsidRPr="001A052A">
        <w:rPr>
          <w:rFonts w:ascii="Calibri" w:hAnsi="Calibri" w:cs="Helvetica"/>
        </w:rPr>
        <w:t xml:space="preserve"> u. a. Dunstan et al 2010, </w:t>
      </w:r>
      <w:proofErr w:type="spellStart"/>
      <w:r w:rsidRPr="001A052A">
        <w:rPr>
          <w:rFonts w:ascii="Calibri" w:hAnsi="Calibri" w:cs="Helvetica"/>
        </w:rPr>
        <w:t>Katzmarzyk</w:t>
      </w:r>
      <w:proofErr w:type="spellEnd"/>
      <w:r w:rsidRPr="001A052A">
        <w:rPr>
          <w:rFonts w:ascii="Calibri" w:hAnsi="Calibri" w:cs="Helvetica"/>
        </w:rPr>
        <w:t xml:space="preserve"> et al 2009, </w:t>
      </w:r>
    </w:p>
    <w:p w:rsidR="001A052A" w:rsidRPr="001A052A" w:rsidRDefault="001A052A" w:rsidP="001A052A">
      <w:pPr>
        <w:spacing w:line="360" w:lineRule="auto"/>
        <w:ind w:right="50"/>
        <w:jc w:val="both"/>
        <w:rPr>
          <w:rFonts w:ascii="Calibri" w:hAnsi="Calibri" w:cs="Helvetica"/>
        </w:rPr>
      </w:pPr>
      <w:r w:rsidRPr="001A052A">
        <w:rPr>
          <w:rFonts w:ascii="Calibri" w:hAnsi="Calibri" w:cs="Helvetica"/>
          <w:vertAlign w:val="superscript"/>
        </w:rPr>
        <w:t>2</w:t>
      </w:r>
      <w:r w:rsidRPr="001A052A">
        <w:rPr>
          <w:rFonts w:ascii="Calibri" w:hAnsi="Calibri" w:cs="Helvetica"/>
        </w:rPr>
        <w:t xml:space="preserve"> </w:t>
      </w:r>
      <w:proofErr w:type="spellStart"/>
      <w:r w:rsidRPr="001A052A">
        <w:rPr>
          <w:rFonts w:ascii="Calibri" w:hAnsi="Calibri" w:cs="Helvetica"/>
        </w:rPr>
        <w:t>Ekblom</w:t>
      </w:r>
      <w:proofErr w:type="spellEnd"/>
      <w:r w:rsidRPr="001A052A">
        <w:rPr>
          <w:rFonts w:ascii="Calibri" w:hAnsi="Calibri" w:cs="Helvetica"/>
        </w:rPr>
        <w:t xml:space="preserve">-Bak 2010, Schmid et al 2014, </w:t>
      </w:r>
    </w:p>
    <w:p w:rsidR="001A052A" w:rsidRPr="001A052A" w:rsidRDefault="001A052A" w:rsidP="001A052A">
      <w:pPr>
        <w:spacing w:line="360" w:lineRule="auto"/>
        <w:ind w:right="50"/>
        <w:jc w:val="both"/>
        <w:rPr>
          <w:rFonts w:ascii="Calibri" w:hAnsi="Calibri" w:cs="Helvetica"/>
        </w:rPr>
      </w:pPr>
      <w:r w:rsidRPr="001A052A">
        <w:rPr>
          <w:rFonts w:ascii="Calibri" w:hAnsi="Calibri" w:cs="Helvetica"/>
          <w:vertAlign w:val="superscript"/>
        </w:rPr>
        <w:t>3</w:t>
      </w:r>
      <w:r w:rsidRPr="001A052A">
        <w:rPr>
          <w:rFonts w:ascii="Calibri" w:hAnsi="Calibri" w:cs="Helvetica"/>
        </w:rPr>
        <w:t xml:space="preserve"> Bays 2009, Haffner 2007, </w:t>
      </w:r>
    </w:p>
    <w:p w:rsidR="001A052A" w:rsidRPr="001A052A" w:rsidRDefault="001A052A" w:rsidP="001A052A">
      <w:pPr>
        <w:spacing w:line="360" w:lineRule="auto"/>
        <w:ind w:right="50"/>
        <w:jc w:val="both"/>
        <w:rPr>
          <w:rFonts w:ascii="Calibri" w:hAnsi="Calibri" w:cs="Helvetica"/>
        </w:rPr>
      </w:pPr>
      <w:r w:rsidRPr="001A052A">
        <w:rPr>
          <w:rFonts w:ascii="Calibri" w:hAnsi="Calibri" w:cs="Helvetica"/>
          <w:vertAlign w:val="superscript"/>
        </w:rPr>
        <w:t>4</w:t>
      </w:r>
      <w:r w:rsidRPr="001A052A">
        <w:rPr>
          <w:rFonts w:ascii="Calibri" w:hAnsi="Calibri" w:cs="Helvetica"/>
        </w:rPr>
        <w:t xml:space="preserve"> Healy et al 2011, </w:t>
      </w:r>
    </w:p>
    <w:p w:rsidR="001A052A" w:rsidRPr="001A052A" w:rsidRDefault="001A052A" w:rsidP="001A052A">
      <w:pPr>
        <w:spacing w:line="360" w:lineRule="auto"/>
        <w:ind w:right="50"/>
        <w:jc w:val="both"/>
        <w:rPr>
          <w:rFonts w:ascii="Calibri" w:hAnsi="Calibri"/>
        </w:rPr>
      </w:pPr>
      <w:r w:rsidRPr="001A052A">
        <w:rPr>
          <w:rFonts w:ascii="Calibri" w:hAnsi="Calibri" w:cs="Helvetica"/>
          <w:vertAlign w:val="superscript"/>
        </w:rPr>
        <w:t>5</w:t>
      </w:r>
      <w:r w:rsidRPr="001A052A">
        <w:rPr>
          <w:rFonts w:ascii="Calibri" w:hAnsi="Calibri" w:cs="Helvetica"/>
        </w:rPr>
        <w:t xml:space="preserve"> Buckley et al 2015</w:t>
      </w:r>
    </w:p>
    <w:sectPr w:rsidR="001A052A" w:rsidRPr="001A052A" w:rsidSect="00832AC7">
      <w:pgSz w:w="12240" w:h="15840"/>
      <w:pgMar w:top="1417" w:right="1417"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Impact">
    <w:panose1 w:val="020B0806030902050204"/>
    <w:charset w:val="00"/>
    <w:family w:val="auto"/>
    <w:pitch w:val="variable"/>
    <w:sig w:usb0="00000287" w:usb1="00000000" w:usb2="00000000" w:usb3="00000000" w:csb0="0000009F" w:csb1="00000000"/>
  </w:font>
  <w:font w:name="TheSans 3-Light">
    <w:charset w:val="00"/>
    <w:family w:val="auto"/>
    <w:pitch w:val="variable"/>
    <w:sig w:usb0="00000003" w:usb1="00000000" w:usb2="00000000" w:usb3="00000000" w:csb0="00000001" w:csb1="00000000"/>
  </w:font>
  <w:font w:name="TheSans 7-Bold">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4706F1"/>
    <w:multiLevelType w:val="hybridMultilevel"/>
    <w:tmpl w:val="0002CD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645850EC"/>
    <w:multiLevelType w:val="hybridMultilevel"/>
    <w:tmpl w:val="4F365B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7C9A00BC"/>
    <w:multiLevelType w:val="hybridMultilevel"/>
    <w:tmpl w:val="C49E90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52A"/>
    <w:rsid w:val="001A052A"/>
    <w:rsid w:val="008916F5"/>
    <w:rsid w:val="009D10B3"/>
    <w:rsid w:val="00BC4357"/>
    <w:rsid w:val="00DC2F35"/>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02DA7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 w:type="paragraph" w:styleId="Listenabsatz">
    <w:name w:val="List Paragraph"/>
    <w:basedOn w:val="Standard"/>
    <w:uiPriority w:val="34"/>
    <w:qFormat/>
    <w:rsid w:val="001A052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 w:type="paragraph" w:styleId="Listenabsatz">
    <w:name w:val="List Paragraph"/>
    <w:basedOn w:val="Standard"/>
    <w:uiPriority w:val="34"/>
    <w:qFormat/>
    <w:rsid w:val="001A05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817</Words>
  <Characters>5149</Characters>
  <Application>Microsoft Macintosh Word</Application>
  <DocSecurity>0</DocSecurity>
  <Lines>42</Lines>
  <Paragraphs>11</Paragraphs>
  <ScaleCrop>false</ScaleCrop>
  <Company/>
  <LinksUpToDate>false</LinksUpToDate>
  <CharactersWithSpaces>5955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Moyses</dc:creator>
  <cp:keywords/>
  <dc:description/>
  <cp:lastModifiedBy>Martina Moyses</cp:lastModifiedBy>
  <cp:revision>1</cp:revision>
  <dcterms:created xsi:type="dcterms:W3CDTF">2017-02-08T15:50:00Z</dcterms:created>
  <dcterms:modified xsi:type="dcterms:W3CDTF">2017-02-08T15:55:00Z</dcterms:modified>
</cp:coreProperties>
</file>